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2.000272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3783/QĐ-BCT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kinh doanh đồng thời với giấy phép lập cơ sở bán lẻ được quy định tại Điều 20 Nghị định số 09/2018/NĐ-CP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Thương mại quốc tế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Hồ sơ gửi trực tiếp hoặc qua đường bưu chính hoặc qua mạng điện tử (nếu đủ điều kiện áp dụng) đến Cơ quan cấp Giấy phép.
- Trong thời hạn 03 ngày làm việc kể từ ngày nhận được hồ sơ, Cơ quan cấp Giấy phép kiểm tra và yêu cầu sửa đổi, bổ sung nếu hồ sơ chưa đủ và hợp lệ.
- Trong thời hạn 10 ngày làm việc kể từ ngày nhận được hồ sơ đủ và hợp lệ, Cơ quan cấp Giấy phép kiểm tra việc đáp ứng điều kiện quy định tại Điều 9 và khoản 1 Điều 22 Nghị định số 09/2018/NĐ-CP:
- Trường hợp không đáp ứng điều kiện, Cơ quan cấp Giấy phép có văn bản trả lời và nêu rõ lý do;
-  Trường hợp đáp ứng điều kiện, Cơ quan cấp Giấy phép gửi hồ sơ kèm văn bản lấy ý kiến Ủy ban nhân dân cấp tỉnh (Mẫu số 09 Phụ lục ban hành kèm theo Nghị định 09/2018/NĐ-CP).
- Trong thời hạn 07 ngày làm việc kể từ ngày nhận được hồ sơ, Ủy ban nhân dân cấp tỉnh căn cứ vào nội dung tương ứng quy định tại Điều 25 Nghị định số 09/2018/NĐ-CP để có văn bản chấp thuận cấp Giấy phép lập cơ sở bán lẻ; trường hợp từ chối phải có văn bản trả lời và nêu rõ lý do (Mẫu số 10 Phụ lục ban hành kèm theo Nghị định 09/2018/NĐ-CP).
- Trong thời hạn 03 ngày làm việc kể từ ngày nhận được văn bản chấp thuận của Ủy ban nhân dân cấp tỉnh, Cơ quan cấp Giấy phép cấp Giấy phép kinh doanh đồng thời với Giấy phép lập cơ sở bán lẻ. Trường hợp Ủy ban nhân dân cấp tỉnh từ chối, Cơ quan cấp Giấy phép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Nộp trực tiếp
20 ngày làm việc, kể từ ngày nhận đủ hồ sơ hợp lệ.</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Qua hệ thống dịch vụ công trực tuyến (nếu đủ điều kiện áp dụng) 
20 ngày làm việc, kể từ ngày nhận đủ hồ sơ hợp lệ.</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Qua Bưu điện.
20 ngày làm việc, kể từ ngày nhận đủ hồ sơ hợp lệ.</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phép kinh doanh (Mẫu số 01 tại Phụ lục ban hành kèm theo Nghị định 09/2018/NĐ-CP ngày 15/01/2018)</w:t>
            </w:r>
          </w:p>
        </w:tc>
        <w:tc>
          <w:p/>
          <w:p>
            <w:pPr>
              <w:spacing w:after="0" w:before="0" w:lineRule="auto" w:line="276"/>
              <w:jc w:val="left"/>
            </w:pPr>
            <w:r>
              <w:rPr>
                <w:rFonts w:ascii="Times New Roman" w:hAnsi="Times New Roman" w:cs="Times New Roman" w:eastAsia="Times New Roman"/>
                <w:b w:val="false"/>
                <w:sz w:val="26"/>
              </w:rPr>
              <w:t>01MĐ-Đơn cấp GPKD.doc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giải trình có nội dung theo quy định tại khoản 2 Điều 12 Nghị định 09/2018/NĐ-CP ngày 15/01/2018 của Chính phủ</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của cơ quan thuế chứng minh không còn nợ thuế quá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chứng nhận đăng ký đầu tư dự án hoạt động mua bán hàng hóa và các hoạt động liên quan trực tiếp đến mua bán hàng hóa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cấp Giấy phép lập cơ sở bán lẻ (Mẫu số 04 Phụ lục ban hành kèm theo Nghị định số 09/2018/NĐ-CP)</w:t>
            </w:r>
          </w:p>
        </w:tc>
        <w:tc>
          <w:p/>
          <w:p>
            <w:pPr>
              <w:spacing w:after="0" w:before="0" w:lineRule="auto" w:line="276"/>
              <w:jc w:val="left"/>
            </w:pPr>
            <w:r>
              <w:rPr>
                <w:rFonts w:ascii="Times New Roman" w:hAnsi="Times New Roman" w:cs="Times New Roman" w:eastAsia="Times New Roman"/>
                <w:b w:val="false"/>
                <w:sz w:val="26"/>
              </w:rPr>
              <w:t>04MĐ-Đơn cấp GPBL.doc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giải trình có nội dung: + Địa điểm lập cơ sở bán lẻ: địa chỉ cơ sở bán lẻ; mô tả khu vực chung, có liên quan và khu vực sử dụng để lập cơ sở bán lẻ; giải trình việc đáp ứng điều kiện quy định tại điểm c khoản 1 Điều 22 Nghị định số 09/2018/NĐ-CP; kèm theo tài liệu về địa điểm lập cơ sở bán lẻ</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Kế hoạch kinh doanh tại cơ sở bán lẻ: trình bày kế hoạch kinh doanh và phát triển thị trường; nhu cầu về lao động; đánh giá tác động, hiệu quả kinh tế - xã hội của kế hoạch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Kế hoạch tài chính cho việc lập cơ sở bán lẻ: báo cáo kết quả hoạt động kinh doanh trên cơ sở báo cáo tài chính đã được kiểm toán của năm gần nhất trong trường hợp đã thành lập ở Việt Nam từ 01 năm trở lên; giải trình về vốn, nguồn vốn và phương án huy động vốn; kèm theo tài liệu về tài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đăng ký đầu tư dự án lập cơ sở bán lẻ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KINH DOANH HOẠT ĐỘNG MUA BÁN HÀNG HÓA VÀ CÁC HOẠT ĐỘNG LIÊN QUAN TRỰC TIẾP ĐẾN MUA BÁN HÀNG HÓA, GIẤY PHÉP LẬP CƠ SỞ BÁN LẺ</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36/2005/QH11</w:t>
            </w:r>
          </w:p>
        </w:tc>
        <w:tc>
          <w:p/>
          <w:p>
            <w:pPr>
              <w:spacing w:after="0" w:before="0" w:lineRule="auto" w:line="276"/>
              <w:jc w:val="left"/>
            </w:pPr>
            <w:r>
              <w:rPr>
                <w:rFonts w:ascii="Times New Roman" w:hAnsi="Times New Roman" w:cs="Times New Roman" w:eastAsia="Times New Roman"/>
                <w:b w:val="false"/>
                <w:sz w:val="26"/>
              </w:rPr>
              <w:t>Luật 36/2005/QH11</w:t>
            </w:r>
          </w:p>
        </w:tc>
        <w:tc>
          <w:p/>
          <w:p>
            <w:pPr>
              <w:spacing w:after="0" w:before="0" w:lineRule="auto" w:line="276"/>
              <w:jc w:val="left"/>
            </w:pPr>
            <w:r>
              <w:rPr>
                <w:rFonts w:ascii="Times New Roman" w:hAnsi="Times New Roman" w:cs="Times New Roman" w:eastAsia="Times New Roman"/>
                <w:b w:val="false"/>
                <w:sz w:val="26"/>
              </w:rPr>
              <w:t>14-06-2005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05/2017/QH14</w:t>
            </w:r>
          </w:p>
        </w:tc>
        <w:tc>
          <w:p/>
          <w:p>
            <w:pPr>
              <w:spacing w:after="0" w:before="0" w:lineRule="auto" w:line="276"/>
              <w:jc w:val="left"/>
            </w:pPr>
            <w:r>
              <w:rPr>
                <w:rFonts w:ascii="Times New Roman" w:hAnsi="Times New Roman" w:cs="Times New Roman" w:eastAsia="Times New Roman"/>
                <w:b w:val="false"/>
                <w:sz w:val="26"/>
              </w:rPr>
              <w:t>Luật quản lý ngoại thương</w:t>
            </w:r>
          </w:p>
        </w:tc>
        <w:tc>
          <w:p/>
          <w:p>
            <w:pPr>
              <w:spacing w:after="0" w:before="0" w:lineRule="auto" w:line="276"/>
              <w:jc w:val="left"/>
            </w:pPr>
            <w:r>
              <w:rPr>
                <w:rFonts w:ascii="Times New Roman" w:hAnsi="Times New Roman" w:cs="Times New Roman" w:eastAsia="Times New Roman"/>
                <w:b w:val="false"/>
                <w:sz w:val="26"/>
              </w:rPr>
              <w:t>12-06-2017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67/2014/QH13</w:t>
            </w:r>
          </w:p>
        </w:tc>
        <w:tc>
          <w:p/>
          <w:p>
            <w:pPr>
              <w:spacing w:after="0" w:before="0" w:lineRule="auto" w:line="276"/>
              <w:jc w:val="left"/>
            </w:pPr>
            <w:r>
              <w:rPr>
                <w:rFonts w:ascii="Times New Roman" w:hAnsi="Times New Roman" w:cs="Times New Roman" w:eastAsia="Times New Roman"/>
                <w:b w:val="false"/>
                <w:sz w:val="26"/>
              </w:rPr>
              <w:t>Luật 67/2014/QH13</w:t>
            </w:r>
          </w:p>
        </w:tc>
        <w:tc>
          <w:p/>
          <w:p>
            <w:pPr>
              <w:spacing w:after="0" w:before="0" w:lineRule="auto" w:line="276"/>
              <w:jc w:val="left"/>
            </w:pPr>
            <w:r>
              <w:rPr>
                <w:rFonts w:ascii="Times New Roman" w:hAnsi="Times New Roman" w:cs="Times New Roman" w:eastAsia="Times New Roman"/>
                <w:b w:val="false"/>
                <w:sz w:val="26"/>
              </w:rPr>
              <w:t>26-11-2014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03/2016/QH14</w:t>
            </w:r>
          </w:p>
        </w:tc>
        <w:tc>
          <w:p/>
          <w:p>
            <w:pPr>
              <w:spacing w:after="0" w:before="0" w:lineRule="auto" w:line="276"/>
              <w:jc w:val="left"/>
            </w:pPr>
            <w:r>
              <w:rPr>
                <w:rFonts w:ascii="Times New Roman" w:hAnsi="Times New Roman" w:cs="Times New Roman" w:eastAsia="Times New Roman"/>
                <w:b w:val="false"/>
                <w:sz w:val="26"/>
              </w:rPr>
              <w:t>Luật sửa đổi, bổ sung Điều 6 và Phụ lục 4 về Danh mục ngành, nghề đầu tư kinh doanh có điều kiện của Luật đầu tư</w:t>
            </w:r>
          </w:p>
        </w:tc>
        <w:tc>
          <w:p/>
          <w:p>
            <w:pPr>
              <w:spacing w:after="0" w:before="0" w:lineRule="auto" w:line="276"/>
              <w:jc w:val="left"/>
            </w:pPr>
            <w:r>
              <w:rPr>
                <w:rFonts w:ascii="Times New Roman" w:hAnsi="Times New Roman" w:cs="Times New Roman" w:eastAsia="Times New Roman"/>
                <w:b w:val="false"/>
                <w:sz w:val="26"/>
              </w:rPr>
              <w:t>22-11-2016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09/2018/NĐ-CP</w:t>
            </w:r>
          </w:p>
        </w:tc>
        <w:tc>
          <w:p/>
          <w:p>
            <w:pPr>
              <w:spacing w:after="0" w:before="0" w:lineRule="auto" w:line="276"/>
              <w:jc w:val="left"/>
            </w:pPr>
            <w:r>
              <w:rPr>
                <w:rFonts w:ascii="Times New Roman" w:hAnsi="Times New Roman" w:cs="Times New Roman" w:eastAsia="Times New Roman"/>
                <w:b w:val="false"/>
                <w:sz w:val="26"/>
              </w:rPr>
              <w:t>Quy định chi tiết Luật thương mại và Luật Quản lý ngoại thương về hoạt động mua bán hàng hóa và các hoạt động liên quan trực tiếp đến mua bán hàng hóa của nhà đầu tư nước ngoài, tổ chức kinh tế có vốn đầu tư nước ngoài tại Việt Nam</w:t>
            </w:r>
          </w:p>
        </w:tc>
        <w:tc>
          <w:p/>
          <w:p>
            <w:pPr>
              <w:spacing w:after="0" w:before="0" w:lineRule="auto" w:line="276"/>
              <w:jc w:val="left"/>
            </w:pPr>
            <w:r>
              <w:rPr>
                <w:rFonts w:ascii="Times New Roman" w:hAnsi="Times New Roman" w:cs="Times New Roman" w:eastAsia="Times New Roman"/>
                <w:b w:val="false"/>
                <w:sz w:val="26"/>
              </w:rPr>
              <w:t>15-01-2018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146/2025</w:t>
            </w:r>
          </w:p>
        </w:tc>
        <w:tc>
          <w:p/>
          <w:p>
            <w:pPr>
              <w:spacing w:after="0" w:before="0" w:lineRule="auto" w:line="276"/>
              <w:jc w:val="left"/>
            </w:pPr>
            <w:r>
              <w:rPr>
                <w:rFonts w:ascii="Times New Roman" w:hAnsi="Times New Roman" w:cs="Times New Roman" w:eastAsia="Times New Roman"/>
                <w:b w:val="false"/>
                <w:sz w:val="26"/>
              </w:rPr>
              <w:t>Nghị định số 146/2025/NĐ-CP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Điều kiện chung:
Đảm bảo các điều kiện chung được quy định tại Điều 9 và Điều 22 Nghị định số 09/2018/NĐ-CP. 
- Điều kiện riêng: Địa điểm lập cơ sở bán lẻ thứ nhất cùng tỉnh/ thành phố trực thuộc trung ương với trụ sở chính của tổ chức kinh tế có vốn đầu tư nước ngoài.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2026-05-31T01:09:00Z</dcterms:created>
  <dc:creator>Apache POI</dc:creator>
</cp:coreProperties>
</file>