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1837/QĐ-BTP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Phục hồi danh dự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chủ động phục hồi danh dự</w:t>
      </w:r>
    </w:p>
    <w:p>
      <w:pPr>
        <w:spacing w:after="0" w:before="0" w:lineRule="auto" w:line="276"/>
        <w:jc w:val="both"/>
      </w:pPr>
      <w:r>
        <w:rPr>
          <w:rFonts w:ascii="Times New Roman" w:hAnsi="Times New Roman" w:cs="Times New Roman" w:eastAsia="Times New Roman"/>
          <w:b w:val="false"/>
          <w:sz w:val="26"/>
        </w:rPr>
        <w:t>- Cơ quan trực tiếp quản lý người thi hành công vụ gây thiệt hại có trách nhiệm thông báo bằng văn bản cho người bị thiệt hại về việc Nhà nước chủ động tổ chức thực hiện phục hồi danh dự ;</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thông báo, người bị thiệt hại có ý kiến trả lời bằng văn bản về việc đồng ý với nội dung thông báo hoặc không đồng ý với nội dung thông báo (có ý kiến đề nghị cụ thể về nội dung không đồng ý) hoặc đề nghị chưa thực hiện phục hồi danh dự và gửi cho cơ quan trực tiếp quản lý người thi hành công vụ gây thiệt hại.</w:t>
      </w:r>
    </w:p>
    <w:p>
      <w:pPr>
        <w:spacing w:after="0" w:before="0" w:lineRule="auto" w:line="276"/>
        <w:jc w:val="both"/>
      </w:pPr>
      <w:r>
        <w:rPr>
          <w:rFonts w:ascii="Times New Roman" w:hAnsi="Times New Roman" w:cs="Times New Roman" w:eastAsia="Times New Roman"/>
          <w:b w:val="false"/>
          <w:sz w:val="26"/>
        </w:rPr>
        <w:t>Trường hợp cơ quan trực tiếp quản lý người thi hành công vụ gây thiệt hại không nhận được trả lời của người bị thiệt hại thì việc phục hồi danh dự sẽ được thực hiện khi người bị thiệt hại có yêu cầu bằng văn bản.</w:t>
      </w:r>
    </w:p>
    <w:p>
      <w:pPr>
        <w:spacing w:after="0" w:before="0" w:lineRule="auto" w:line="276"/>
        <w:jc w:val="both"/>
      </w:pPr>
      <w:r>
        <w:rPr>
          <w:rFonts w:ascii="Times New Roman" w:hAnsi="Times New Roman" w:cs="Times New Roman" w:eastAsia="Times New Roman"/>
          <w:b w:val="false"/>
          <w:sz w:val="26"/>
        </w:rPr>
        <w:t xml:space="preserve"> Trường hợp người bị thiệt hại từ chối quyền được phục hồi danh dự theo quy định của Luật thì không còn quyền yêu cầu phục hồi danh dự, việc từ chối phải được thể hiện bằng văn bản. Trong trường hợp người bị thiệt hại từ chối quyền được phục hồi danh dự bằng lời nói thì cơ quan trực tiếp quản lý người thi hành công vụ gây thiệt hại lập biên bản, trong đó ghi rõ việc từ chối quyền được phục hồi danh dự của người bị thiệt hại, biên bản phải có chữ ký hoặc điểm chỉ của người bị thiệt hại.
Trường hợp người bị thiệt hại chết thì cơ quan trực tiếp quản lý người thi hành công vụ gây thiệt hại đăng báo xin lỗi và cải chính công khai theo quy định tại Điều 59 của Luật TNBTCNN năm 2017.</w:t>
      </w:r>
    </w:p>
    <w:p>
      <w:pPr>
        <w:spacing w:after="0" w:before="0" w:lineRule="auto" w:line="276"/>
        <w:jc w:val="both"/>
      </w:pPr>
      <w:r>
        <w:rPr>
          <w:rFonts w:ascii="Times New Roman" w:hAnsi="Times New Roman" w:cs="Times New Roman" w:eastAsia="Times New Roman"/>
          <w:b w:val="false"/>
          <w:sz w:val="26"/>
        </w:rPr>
        <w:t>- Sau khi nhận được văn bản có ý kiến đồng ý của người bị thiệt hại về việc phục hồi danh dự hoặc văn bản yêu cầu phục hồi danh dự trong trường hợp người bị thiệt hại khi nhận được thông báo về việc phục hồi danh dự đã đề nghị chưa thực hiện phục hồi danh dự ngay ,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hd w:val="clear" w:color="auto" w:fill="F2F6F9"/>
        <w:spacing w:after="0" w:before="120" w:lineRule="auto" w:line="276"/>
        <w:jc w:val="both"/>
      </w:pPr>
      <w:r>
        <w:rPr>
          <w:rFonts w:ascii="Times New Roman" w:hAnsi="Times New Roman" w:cs="Times New Roman" w:eastAsia="Times New Roman"/>
          <w:b w:val="true"/>
          <w:sz w:val="26"/>
        </w:rPr>
        <w:t>b) Phục hồi danh dự theo yêu cầu cầu người bị thiệt hại</w:t>
      </w:r>
    </w:p>
    <w:p>
      <w:pPr>
        <w:spacing w:after="0" w:before="0" w:lineRule="auto" w:line="276"/>
        <w:jc w:val="both"/>
      </w:pPr>
      <w:r>
        <w:rPr>
          <w:rFonts w:ascii="Times New Roman" w:hAnsi="Times New Roman" w:cs="Times New Roman" w:eastAsia="Times New Roman"/>
          <w:b w:val="false"/>
          <w:sz w:val="26"/>
        </w:rPr>
        <w:t>- Người bị thiệt hại có văn bản yêu cầu bồi thường bao gồm nội dung yêu cầu phục hồi danh dự;</w:t>
      </w:r>
    </w:p>
    <w:p>
      <w:pPr>
        <w:spacing w:after="0" w:before="0" w:lineRule="auto" w:line="276"/>
        <w:jc w:val="both"/>
      </w:pPr>
      <w:r>
        <w:rPr>
          <w:rFonts w:ascii="Times New Roman" w:hAnsi="Times New Roman" w:cs="Times New Roman" w:eastAsia="Times New Roman"/>
          <w:b w:val="false"/>
          <w:sz w:val="26"/>
        </w:rPr>
        <w:t>-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Chủ động phục hồi danh dự</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tổ chức thực hiện phục hồi danh dự (mẫu 17/BTNN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Thông báo về việc tổ chức thực hiện phục hồi danh dự.doc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trả lời thông báo tổ chức thực hiện phục hồi danh dự (mẫu 18/BTNN ban hành kèm theo Thông tư số 04/2018/TT-BTP). Trường hợp cơ quan trực tiếp quản lý người thi hành công vụ gây thiệt hại đã Thông báo nhưng người bị thiệt hại chưa đề nghị chưa thực hiện phục hồi danh dự mà yêu cầu sau thì thành phần hồ sơ gồm: Thông báo về việc tổ chức thực hiện phục hồi danh dự (mẫu 17/BTNN ban hành kèm theo Thông tư số 04/2018/TT-BTP); Ý kiến của người bị thiệt hại đề nghi chưa thực hiện phục hồi danh dự; Văn bản đề nghị phục hồi danh dự.</w:t>
            </w:r>
          </w:p>
        </w:tc>
        <w:tc>
          <w:p/>
          <w:p>
            <w:pPr>
              <w:spacing w:after="0" w:before="0" w:lineRule="auto" w:line="276"/>
              <w:jc w:val="left"/>
            </w:pPr>
            <w:r>
              <w:rPr>
                <w:rFonts w:ascii="Times New Roman" w:hAnsi="Times New Roman" w:cs="Times New Roman" w:eastAsia="Times New Roman"/>
                <w:b w:val="false"/>
                <w:sz w:val="26"/>
              </w:rPr>
              <w:t>Mẫu 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Phục hồi danh dự theo yêu cầu của người bị thiệt hại: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 (mẫu 01/BTNN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Mu01-vanbanYCBT-BTNN.docx</w:t>
            </w:r>
          </w:p>
          <w:p>
            <w:pPr>
              <w:spacing w:after="0" w:before="0" w:lineRule="auto" w:line="276"/>
              <w:jc w:val="left"/>
            </w:pPr>
            <w:r>
              <w:rPr>
                <w:rFonts w:ascii="Times New Roman" w:hAnsi="Times New Roman" w:cs="Times New Roman" w:eastAsia="Times New Roman"/>
                <w:b w:val="false"/>
                <w:sz w:val="26"/>
              </w:rPr>
              <w:t>Mu01-vanbanYCBT-BTNN.pdf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giải quyết bồi thường là cơ quan trực tiếp quản lý người thi hành công vụ gây thiệt hại trong hoạt động quản lý hành chính, tố tụng, thi hành án quy định từ Điều 33 đến Điều 39 của Luật TNBTCNN năm 2017 ở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trực tiếp xin lỗi và cải chính công khai; Đăng báo xin lỗi và cải chính công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Nghị định số68/2018/NĐ-CP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04/2018/TT-BTP </w:t>
            </w:r>
          </w:p>
        </w:tc>
        <w:tc>
          <w:p/>
          <w:p>
            <w:pPr>
              <w:spacing w:after="0" w:before="0" w:lineRule="auto" w:line="276"/>
              <w:jc w:val="left"/>
            </w:pPr>
            <w:r>
              <w:rPr>
                <w:rFonts w:ascii="Times New Roman" w:hAnsi="Times New Roman" w:cs="Times New Roman" w:eastAsia="Times New Roman"/>
                <w:b w:val="false"/>
                <w:sz w:val="26"/>
              </w:rPr>
              <w:t>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bản đồng ý hoặc có ý kiến cụ thể về việc phục hồi danh dự hoặc yêu cầu của người bị thiệt hại về việc phục hồi danh dự theo quy định tại Điều 57 hoặc Điều 41 Luật TNBTCNN năm 2017.</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2026-05-19T14:54:27Z</dcterms:created>
  <dc:creator>Apache POI</dc:creator>
</cp:coreProperties>
</file>