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nước mặt, nước biển (đối với các trường hợp quy định tại khoản 1 Điều 15 Nghị định số 54/2024/NĐ-CP ngày 16/5/2024, được sửa đổi, bổ sung bởi khoản 12 Điều 2 Nghị định số 23/2026/NĐ-CP)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giấy phép nộp 01 bộ hồ sơ trực tiếp tại Bộ phận Tiếp nhận và Trả kết quả giải quyết thủ tục hành chính của Bộ Nông nghiệp và Môi trường (sau đây gọi tắt là Bộ phận Một cửa), địa chỉ số 10 Tôn Thất Thuyết, phường Cầu Giấy, Hà Nội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giấy phép. 
+ Trường hợp hồ sơ hợp lệ, Bộ phận Một cửa chuyển hồ sơ cho Cục Quản lý tài nguyên nước để tổ chức thẩm định.
- Bước 3: Thẩm định hồ sơ và quyết định cấp phép:
Kể từ ngày nhận đủ hồ sơ hợp lệ, Cục Quản lý tài nguyên nước có trách nhiệm gửi thông báo nộp phí thẩm định cho tổ chức, cá nhân đề nghị cấp phép và thẩm định đề án, báo cáo; nếu cần thiết thì kiểm tra thực tế hiện trường, lập hội đồng thẩm định đề án, báo cáo, tổ chức lấy ý kiến các cơ quan, tổ chức, cá nhân có liên quan.
+ Trường hợp đủ điều kiện cấp phép, Cục Quản lý tài nguyên nước trình Bộ trưởng Bộ Nông nghiệp và Môi trường cấp phép; trường hợp không đủ điều kiện để cấp phép thì Cục Quản lý tài nguyên nước gửi văn bản thông báo cho tổ chức, cá nhân đề nghị cấp phép nêu rõ những nội dung đề án chưa đạt yêu cầu và trả lại hồ sơ đề nghị cấp phép.
+ Trường hợp phải bổ sung, chỉnh sửa để hoàn thiện đề án, Cục Quản lý tài nguyên nước gửi văn bản thông báo cho tổ chức, cá nhân đề nghị cấp phép nêu rõ những nội dung cần bổ sung, hoàn thiện đề án. 
Thời gian bổ sung, hoàn thiện đề án không tính vào thời gian thẩm định đề án. Thời gian thẩm định sau khi đề án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theo Mẫu 05, Mẫu 07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Mau05.doc</w:t>
            </w:r>
          </w:p>
          <w:p>
            <w:pPr>
              <w:spacing w:after="0" w:before="0" w:lineRule="auto" w:line="276"/>
              <w:jc w:val="left"/>
            </w:pPr>
            <w:r>
              <w:rPr>
                <w:rFonts w:ascii="Times New Roman" w:hAnsi="Times New Roman" w:cs="Times New Roman" w:eastAsia="Times New Roman"/>
                <w:b w:val="false"/>
                <w:sz w:val="26"/>
              </w:rPr>
              <w:t>Mau07.doc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khai thác nước theo Mẫu 42, Mẫu 46 (đối với trường hợp công trình chưa khai thác nước), Mẫu 43, Mẫu 47 (đối với trường hợp công trình đã khai thác nước), Mẫu 44 (đối với trường hợp công trình thủy lợi, công trình cấp nước sạch nông thôn tập trung), Phụ lục I, Nghị định số 23/2026/NĐ-CP</w:t>
            </w:r>
          </w:p>
        </w:tc>
        <w:tc>
          <w:p/>
          <w:p>
            <w:pPr>
              <w:spacing w:after="0" w:before="0" w:lineRule="auto" w:line="276"/>
              <w:jc w:val="left"/>
            </w:pPr>
            <w:r>
              <w:rPr>
                <w:rFonts w:ascii="Times New Roman" w:hAnsi="Times New Roman" w:cs="Times New Roman" w:eastAsia="Times New Roman"/>
                <w:b w:val="false"/>
                <w:sz w:val="26"/>
              </w:rPr>
              <w:t>Mau42.doc</w:t>
            </w:r>
          </w:p>
          <w:p>
            <w:pPr>
              <w:spacing w:after="0" w:before="0" w:lineRule="auto" w:line="276"/>
              <w:jc w:val="left"/>
            </w:pPr>
            <w:r>
              <w:rPr>
                <w:rFonts w:ascii="Times New Roman" w:hAnsi="Times New Roman" w:cs="Times New Roman" w:eastAsia="Times New Roman"/>
                <w:b w:val="false"/>
                <w:sz w:val="26"/>
              </w:rPr>
              <w:t>Mau46.doc</w:t>
            </w:r>
          </w:p>
          <w:p>
            <w:pPr>
              <w:spacing w:after="0" w:before="0" w:lineRule="auto" w:line="276"/>
              <w:jc w:val="left"/>
            </w:pPr>
            <w:r>
              <w:rPr>
                <w:rFonts w:ascii="Times New Roman" w:hAnsi="Times New Roman" w:cs="Times New Roman" w:eastAsia="Times New Roman"/>
                <w:b w:val="false"/>
                <w:sz w:val="26"/>
              </w:rPr>
              <w:t>Mau47.doc</w:t>
            </w:r>
          </w:p>
          <w:p>
            <w:pPr>
              <w:spacing w:after="0" w:before="0" w:lineRule="auto" w:line="276"/>
              <w:jc w:val="left"/>
            </w:pPr>
            <w:r>
              <w:rPr>
                <w:rFonts w:ascii="Times New Roman" w:hAnsi="Times New Roman" w:cs="Times New Roman" w:eastAsia="Times New Roman"/>
                <w:b w:val="false"/>
                <w:sz w:val="26"/>
              </w:rPr>
              <w:t>Mau43.doc</w:t>
            </w:r>
          </w:p>
          <w:p>
            <w:pPr>
              <w:spacing w:after="0" w:before="0" w:lineRule="auto" w:line="276"/>
              <w:jc w:val="left"/>
            </w:pPr>
            <w:r>
              <w:rPr>
                <w:rFonts w:ascii="Times New Roman" w:hAnsi="Times New Roman" w:cs="Times New Roman" w:eastAsia="Times New Roman"/>
                <w:b w:val="false"/>
                <w:sz w:val="26"/>
              </w:rPr>
              <w:t>Mau44.doc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lấy ý kiến và văn bản tổng hợp tiếp thu, giải trình ý kiến cộng đồng (đối với trường hợp phải lấy ý kiến đại diện cộng đồng dân cư, tổ chức, cá nhân theo quy định tại điểm a, b và điểm c khoản 1 Điều 3 Nghị định số 54/2024/NĐ-CP, được sửa đổi bởi khoản 2 Điều 2 Nghị định số 23/2026/NĐ-CP)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tài nguyên nước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của Bộ Nông nghiệp và Môi trường (sau đây gọi tắt là Bộ phận Một cửa), địa chỉ số 10 Tôn Thất Thuyết, phường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nước mặt: Mẫu 23 Phụ lục I Nghị định số 23/2026/NĐ-CP., Giấy phép khai thác nước biển: Mẫu 25 Phụ lục I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hoàn thành việc lấy ý kiến đại diện cộng đồng dân cư, tổ chức, cá nhân có liên quan (đối với trường hợp phải lấy ý kiến đại diện cộng đồng dân cư, tổ chức, cá nhân theo quy định tại điểm a, b và điểm c khoản 1 Điều 3 Nghị định số 54/2024/NĐ-CP, được sửa đổi bởi khoản 2 Điều 2 Nghị định số 23/2026/NĐ-CP).
- Việc khai thác tài nguyên nước phù hợp với nội dung quy định tại điểm a và điểm b khoản 1 Điều 8c của Nghị định số 23/2026/NĐ-CP; khai thác nước dưới đất phù hợp với quy định liên quan đến bảo vùng cấm, vùng hạn chế khai thác nước dưới đất theo quy định tại Điều 31 của Luật Tài nguyên nước.
- Riêng đối với trường hợp khai thác nước mặt có xây dựng đập, hồ chứa trên sông, suối ngoài các điều kiện quy định ở trên còn phải đáp ứng các điều kiện sau:
+ Có phương án về thiết bị, nhân lực để quan trắc khí tượng thủy văn, dự báo lượng nước đến hồ, vận hành hồ chứa, quan trắc, giám sát khai thác tài nguyên nước.
+ Có quy trình vận hành hồ chứa theo quy định của pháp luật về quản lý an toàn đập, hồ chứa nước, điện lực đối với trường hợp đã có công trình. Riêng đập, hồ chứa thủy lợi có phương án hoặc quy trình vận hành hồ chứa đối với trường hợp đã có công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2026-05-12T15:41:16Z</dcterms:created>
  <dc:creator>Apache POI</dc:creator>
</cp:coreProperties>
</file>