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1.005219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1561/QĐ-BNV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cho người lao động thuộc đối tượng là người bị thu hồi đất nông nghiệp đi làm việc ở nước ngoài theo hợp đồng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lao động ngoài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lao động nộp trực tiếp hoặc gửi qua đường bưu điện 01 (một) bộ hồ sơ đến chủ đầu tư;
- Bước 2: Chủ đầu tư căn cứ hồ sơ, xem xét và hỗ trợ cho người lao động trong 10 ngày làm việc, kể từ ngày nhận được đầy đủ hồ sơ hợp lệ.</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đầy đủ hồ sơ hợp lệ. Người lao động có thể lựa chọn hình thức nộp hồ sơ: nộp bản giấy trực tiếp hoặc gửi qua dịch vụ bưu chính. Nhận kết quả trực tiếp hoặc qua tài khoản ngân hàng.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đầy đủ hồ sơ hợp lệ. Người lao động có thể lựa chọn hình thức nộp hồ sơ: nộp bản giấy trực tiếp hoặc gửi qua dịch vụ bưu chính. Nhận kết quả trực tiếp hoặc qua tài khoản ngân hàng.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hỗ trợ theo Mẫu số 02a tại Phụ lục;</w:t>
            </w:r>
          </w:p>
        </w:tc>
        <w:tc>
          <w:p/>
          <w:p>
            <w:pPr>
              <w:spacing w:after="0" w:before="0" w:lineRule="auto" w:line="276"/>
              <w:jc w:val="left"/>
            </w:pPr>
            <w:r>
              <w:rPr>
                <w:rFonts w:ascii="Times New Roman" w:hAnsi="Times New Roman" w:cs="Times New Roman" w:eastAsia="Times New Roman"/>
                <w:b w:val="false"/>
                <w:sz w:val="26"/>
              </w:rPr>
              <w:t>4.Mus02a.docx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hộ chiếu và thị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chứng chỉ hoặc giấy chứng nhận hoàn thành khóa đào tạo nghề, ngoại ngữ, giáo dục định hướng của người lao động làm cơ sở thanh toán chi phí ăn, ở trong thời gian đào tạo,,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Hóa đơn hoặc biên lai thu tiền đào tạo nghề, ngoại ngữ, giáo dục định hướng, khám sức khỏe, hộ chiếu, thị thực và lý lịch tư pháp,,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hợp đồng đi làm việc ở nước ngoài ký giữa người lao động và doanh nghiệp đưa người lao động đi làm việc ở nước ngoài (có xác nhận của doanh nghiệp) hoặc hợp đồng lao động trực tiếp giao kết giữa người lao động với người sử dụng lao động ở nước ngoài (nếu hợp đồng bằng tiếng nước ngoài thì phải dịch sang tiếng Việt và có chứng thực) và xác nhận đăng ký hợp đồng lao động của Sở Lao động - Thương binh và Xã hội (nay là Sở Nội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đầu tư</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Chủ đầu tư</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Người lao động được hỗ trợ bằng tiền..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72/2006/QH11</w:t>
            </w:r>
          </w:p>
        </w:tc>
        <w:tc>
          <w:p/>
          <w:p>
            <w:pPr>
              <w:spacing w:after="0" w:before="0" w:lineRule="auto" w:line="276"/>
              <w:jc w:val="left"/>
            </w:pPr>
            <w:r>
              <w:rPr>
                <w:rFonts w:ascii="Times New Roman" w:hAnsi="Times New Roman" w:cs="Times New Roman" w:eastAsia="Times New Roman"/>
                <w:b w:val="false"/>
                <w:sz w:val="26"/>
              </w:rPr>
              <w:t>Luật 72/2006/QH11</w:t>
            </w:r>
          </w:p>
        </w:tc>
        <w:tc>
          <w:p/>
          <w:p>
            <w:pPr>
              <w:spacing w:after="0" w:before="0" w:lineRule="auto" w:line="276"/>
              <w:jc w:val="left"/>
            </w:pPr>
            <w:r>
              <w:rPr>
                <w:rFonts w:ascii="Times New Roman" w:hAnsi="Times New Roman" w:cs="Times New Roman" w:eastAsia="Times New Roman"/>
                <w:b w:val="false"/>
                <w:sz w:val="26"/>
              </w:rPr>
              <w:t>29-11-2006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61/2015/NĐ-CP</w:t>
            </w:r>
          </w:p>
        </w:tc>
        <w:tc>
          <w:p/>
          <w:p>
            <w:pPr>
              <w:spacing w:after="0" w:before="0" w:lineRule="auto" w:line="276"/>
              <w:jc w:val="left"/>
            </w:pPr>
            <w:r>
              <w:rPr>
                <w:rFonts w:ascii="Times New Roman" w:hAnsi="Times New Roman" w:cs="Times New Roman" w:eastAsia="Times New Roman"/>
                <w:b w:val="false"/>
                <w:sz w:val="26"/>
              </w:rPr>
              <w:t>Nghị định 61/2015/NĐ-CP</w:t>
            </w:r>
          </w:p>
        </w:tc>
        <w:tc>
          <w:p/>
          <w:p>
            <w:pPr>
              <w:spacing w:after="0" w:before="0" w:lineRule="auto" w:line="276"/>
              <w:jc w:val="left"/>
            </w:pPr>
            <w:r>
              <w:rPr>
                <w:rFonts w:ascii="Times New Roman" w:hAnsi="Times New Roman" w:cs="Times New Roman" w:eastAsia="Times New Roman"/>
                <w:b w:val="false"/>
                <w:sz w:val="26"/>
              </w:rPr>
              <w:t>09-07-2015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09/2016/TTLT-BLĐTBXH-BTC</w:t>
            </w:r>
          </w:p>
        </w:tc>
        <w:tc>
          <w:p/>
          <w:p>
            <w:pPr>
              <w:spacing w:after="0" w:before="0" w:lineRule="auto" w:line="276"/>
              <w:jc w:val="left"/>
            </w:pPr>
            <w:r>
              <w:rPr>
                <w:rFonts w:ascii="Times New Roman" w:hAnsi="Times New Roman" w:cs="Times New Roman" w:eastAsia="Times New Roman"/>
                <w:b w:val="false"/>
                <w:sz w:val="26"/>
              </w:rPr>
              <w:t>HƯỚNG DẪN THỰC HIỆN MỘT SỐ ĐIỀU VỀ HỖ TRỢ ĐƯA NGƯỜI LAO ĐỘNG ĐI LÀM VIỆC Ở NƯỚC NGOÀI THEO HỢP ĐỒNG QUY ĐỊNH TẠI NGHỊ ĐỊNH SỐ 61/2015/NĐ-CP NGÀY 09 THÁNG 7 NĂM 2015 CỦA CHÍNH PHỦ QUY ĐỊNH VỀ CHÍNH SÁCH HỖ TRỢ TẠO VIỆC LÀM VÀ QUỸ QUỐC GIA VỀ VIỆC LÀM</w:t>
            </w:r>
          </w:p>
        </w:tc>
        <w:tc>
          <w:p/>
          <w:p>
            <w:pPr>
              <w:spacing w:after="0" w:before="0" w:lineRule="auto" w:line="276"/>
              <w:jc w:val="left"/>
            </w:pPr>
            <w:r>
              <w:rPr>
                <w:rFonts w:ascii="Times New Roman" w:hAnsi="Times New Roman" w:cs="Times New Roman" w:eastAsia="Times New Roman"/>
                <w:b w:val="false"/>
                <w:sz w:val="26"/>
              </w:rPr>
              <w:t>15-06-2016</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08/2023/TT-BLĐTBXH</w:t>
            </w:r>
          </w:p>
        </w:tc>
        <w:tc>
          <w:p/>
          <w:p>
            <w:pPr>
              <w:spacing w:after="0" w:before="0" w:lineRule="auto" w:line="276"/>
              <w:jc w:val="left"/>
            </w:pPr>
            <w:r>
              <w:rPr>
                <w:rFonts w:ascii="Times New Roman" w:hAnsi="Times New Roman" w:cs="Times New Roman" w:eastAsia="Times New Roman"/>
                <w:b w:val="false"/>
                <w:sz w:val="26"/>
              </w:rPr>
              <w:t>Sửa đổi, bổ sung, bãi bỏ một số điều của các Thông tư, Thông tư liên tịch có quy định liên quan đến việc nộp, xuất trình sổ hộ khẩu giấy, sổ tạm trú giấy hoặc giấy tờ có yêu cầu xác nhận nơi cư trú khi thực hiện thủ tục hành chính thuộc lĩnh vực quản lý nhà nước của Bộ Lao động - Thương binh và Xã hội.</w:t>
            </w:r>
          </w:p>
        </w:tc>
        <w:tc>
          <w:p/>
          <w:p>
            <w:pPr>
              <w:spacing w:after="0" w:before="0" w:lineRule="auto" w:line="276"/>
              <w:jc w:val="left"/>
            </w:pPr>
            <w:r>
              <w:rPr>
                <w:rFonts w:ascii="Times New Roman" w:hAnsi="Times New Roman" w:cs="Times New Roman" w:eastAsia="Times New Roman"/>
                <w:b w:val="false"/>
                <w:sz w:val="26"/>
              </w:rPr>
              <w:t>29-08-2023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thuộc hộ bị thu hồi đất nông nghiệp (quy định tại Quyết định số 63/2015/QĐ-TTg ngày 10 tháng 12 năm 2015 của Thủ tướng Chính phủ về chính sách hỗ trợ đào tạo nghề và giải quyết việc làm cho người lao động bị thu hồi đất) có nhu cầu đi làm việc ở nước ngoài theo hợp đồng.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2026-05-05T15:44:28Z</dcterms:created>
  <dc:creator>Apache POI</dc:creator>
</cp:coreProperties>
</file>