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1.000464</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458/QĐ-BNV</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Gia hạn Giấy phép hoạt động cho thuê lại lao động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Lao động, tiền lương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Doanh nghiệp gửi một bộ hồ sơ theo quy định trực tuyến trên Cổng Dịch vụ công quốc gia hoặc qua dịch vụ bưu chính hoặc trực tiếp đến Trung tâm Phục vụ hành chính công.</w:t>
      </w:r>
    </w:p>
    <w:p>
      <w:pPr>
        <w:spacing w:after="0" w:before="0" w:lineRule="auto" w:line="276"/>
        <w:jc w:val="both"/>
      </w:pPr>
      <w:r>
        <w:rPr>
          <w:rFonts w:ascii="Times New Roman" w:hAnsi="Times New Roman" w:cs="Times New Roman" w:eastAsia="Times New Roman"/>
          <w:b w:val="false"/>
          <w:sz w:val="26"/>
        </w:rPr>
        <w:t>Bước 2. Trong thời hạn 10 ngày làm việc kể từ ngày nhận được hồ sơ bảo đảm theo quy định, Sở Nội vụ nơi doanh nghiệp đặt trụ sở chính, thẩm tra, trình Chủ tịch Ủy ban nhân dân cấp tỉnh gia hạn giấy phép đối với doanh nghiệp. Trường hợp hồ sơ không bảo đảm theo quy định, trong thời hạn 05 ngày làm việc kể từ ngày tiếp nhận hồ sơ, Sở Nội vụ có văn bản yêu cầu doanh nghiệp hoàn thiện hồ sơ.</w:t>
      </w:r>
    </w:p>
    <w:p>
      <w:pPr>
        <w:spacing w:after="0" w:before="0" w:lineRule="auto" w:line="276"/>
        <w:jc w:val="both"/>
      </w:pPr>
      <w:r>
        <w:rPr>
          <w:rFonts w:ascii="Times New Roman" w:hAnsi="Times New Roman" w:cs="Times New Roman" w:eastAsia="Times New Roman"/>
          <w:b w:val="false"/>
          <w:sz w:val="26"/>
        </w:rPr>
        <w:t>Bước 3. Trong thời hạn 05 ngày làm việc kể từ ngày nhận được hồ sơ trình của Sở Nội vụ, Chủ tịch Ủy ban nhân dân cấp tỉnh xem xét, gia hạn giấy phép đối với doanh nghiệp; trường hợp không gia hạn giấy phép thì có văn bản trả lời doanh nghiệp trong đó nêu rõ lý do không gia hạn giấy phép.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t>Phí :  Đồng</w:t>
            </w:r>
          </w:p>
        </w:tc>
        <w:tc>
          <w:p/>
          <w:p>
            <w:pPr>
              <w:spacing w:after="0" w:before="0" w:lineRule="auto" w:line="276"/>
              <w:jc w:val="left"/>
            </w:pPr>
            <w:r>
              <w:rPr>
                <w:rFonts w:ascii="Times New Roman" w:hAnsi="Times New Roman" w:cs="Times New Roman" w:eastAsia="Times New Roman"/>
                <w:b w:val="false"/>
                <w:sz w:val="26"/>
              </w:rPr>
              <w:t>Nộp hồ sơ trực tuyến trên Cổng Dịch vụ công quốc gia hoặc qua dịch vụ bưu chính hoặc trực tiếp đến Trung tâm Phục vụ hành chính công. 15 ngày làm việc (kể từ khi nhận được hồ sơ đầy đủ,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t>Phí :  Đồng</w:t>
            </w:r>
          </w:p>
        </w:tc>
        <w:tc>
          <w:p/>
          <w:p>
            <w:pPr>
              <w:spacing w:after="0" w:before="0" w:lineRule="auto" w:line="276"/>
              <w:jc w:val="left"/>
            </w:pPr>
            <w:r>
              <w:rPr>
                <w:rFonts w:ascii="Times New Roman" w:hAnsi="Times New Roman" w:cs="Times New Roman" w:eastAsia="Times New Roman"/>
                <w:b w:val="false"/>
                <w:sz w:val="26"/>
              </w:rPr>
              <w:t>Nộp hồ sơ trực tuyến trên Cổng Dịch vụ công quốc gia hoặc qua dịch vụ bưu chính hoặc trực tiếp đến Trung tâm Phục vụ hành chính công. 15 ngày làm việc (kể từ khi nhận được hồ sơ đầy đủ,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t>Phí :  Đồng</w:t>
            </w:r>
          </w:p>
        </w:tc>
        <w:tc>
          <w:p/>
          <w:p>
            <w:pPr>
              <w:spacing w:after="0" w:before="0" w:lineRule="auto" w:line="276"/>
              <w:jc w:val="left"/>
            </w:pPr>
            <w:r>
              <w:rPr>
                <w:rFonts w:ascii="Times New Roman" w:hAnsi="Times New Roman" w:cs="Times New Roman" w:eastAsia="Times New Roman"/>
                <w:b w:val="false"/>
                <w:sz w:val="26"/>
              </w:rPr>
              <w:t>Nộp hồ sơ trực tuyến trên Cổng Dịch vụ công quốc gia hoặc qua dịch vụ bưu chính hoặc trực tiếp đến Trung tâm Phục vụ hành chính công. 15 ngày làm việc (kể từ khi nhận được hồ sơ đầy đủ,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Văn bản chứng minh thời gian trực tiếp làm chuyên môn hoặc quản lý về cho thuê lại lao động hoặc cung ứng lao động của người đại diện theo pháp luật của doanh nghiệp từ đủ 03 năm (36 tháng) trở lên trong thời hạn 05 năm liền kề trước khi đề nghị cấp giấy phép là bản sao hợp lệ (bao gồm bản sao được cấp từ sổ gốc hoặc bản sao chứng thực hoặc bản sao chứng thực điện tử hoặc bản sao đối chiếu với bản chính) một trong các loại văn bản sau:</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(i) Hợp đồng lao động hoặc hợp đồng làm việc hoặc quyết định tuyển dụng, bổ nhiệm, giao nhiệm vụ của người đại diện theo pháp luật của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(ii) Quyết định bổ nhiệm (đối với người làm việc theo chế độ bổ nhiệm) hoặc văn bản công nhận kết quả bầu (đối với người làm việc theo chế độ bầu cử) của người đại diện theo pháp luật của doanh nghiệp hoặc bản sao giấy chứng nhận đăng ký doanh nghiệp (đối với trường hợp là người đại diện theo pháp luật của doanh nghiệp cho thuê lại hoặc cung ứng lao động). Các văn bản này là văn bản của nước ngoài thì phải được dịch ra tiếng Việt, chứng thực và được hợp pháp hóa lãnh sự theo quy định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doanh nghiệp đề nghị gia hạn giấy phép đồng thời thay đổi người đại diện theo pháp luật của doanh nghiệp thì bổ sung thêm các văn bản sau đây:</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Phiếu lý lịch tư pháp. Doanh nghiệp chỉ phải nộp thành phần hồ sơ này khi cơ quan giải quyết thủ tục hành chính không khai thác được đầy đủ, chính xác thông tin về Phiếu lý lịch tư pháp trên Cơ sở dữ liệu Phiếu lý lịch tư pháp. Trường hợp người đại diện là người nước ngoài không thuộc đối tượng cấp phiếu lý lịch tư pháp số 1 thì được thay thế bằng phiếu lý lịch tư pháp tại quốc gia mang quốc tịch. Văn bản này phải được cấp trước ngày nộp hồ sơ không quá 06 tháng, phải được dịch ra tiếng Việt, chứng thực và được hợp pháp hóa lãnh sự theo quy định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đề nghị cấp giấy phép của doanh nghiệp theo Mẫu số 02 Phụ lục I.7 ban hành kèm theo Nghị quyết số 66.16/2026/NQ-CP.</w:t>
            </w:r>
          </w:p>
        </w:tc>
        <w:tc>
          <w:p/>
          <w:p>
            <w:pPr>
              <w:spacing w:after="0" w:before="0" w:lineRule="auto" w:line="276"/>
              <w:jc w:val="left"/>
            </w:pPr>
            <w:r>
              <w:rPr>
                <w:rFonts w:ascii="Times New Roman" w:hAnsi="Times New Roman" w:cs="Times New Roman" w:eastAsia="Times New Roman"/>
                <w:b w:val="false"/>
                <w:sz w:val="26"/>
              </w:rPr>
              <w:t>Mus02PhlcI.7.docx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Giấy chứng nhận tiền ký quỹ hoạt động cho thuê lại lao động theo Mẫu số 01/PLIII Phụ lục III ban hành kèm theo Nghị định số 145/2020/NĐ-CP.</w:t>
            </w:r>
          </w:p>
        </w:tc>
        <w:tc>
          <w:p/>
          <w:p>
            <w:pPr>
              <w:spacing w:after="0" w:before="0" w:lineRule="auto" w:line="276"/>
              <w:jc w:val="left"/>
            </w:pPr>
            <w:r>
              <w:rPr>
                <w:rFonts w:ascii="Times New Roman" w:hAnsi="Times New Roman" w:cs="Times New Roman" w:eastAsia="Times New Roman"/>
                <w:b w:val="false"/>
                <w:sz w:val="26"/>
              </w:rPr>
              <w:t>PhulucMauso01PL03.docx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Chủ tịch ủy ban nhân dân cấp tỉnh, Sở Nội vụ</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Sở Nội vụ</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hoạt động cho thuê lại lao động (gia hạn) hoặc công văn thông báo lý do không gia hạn giấy phép hoạt động cho thuê lại lao động (trong đó có nêu rõ lý do từ chối)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45/2019/QH14</w:t>
            </w:r>
          </w:p>
        </w:tc>
        <w:tc>
          <w:p/>
          <w:p>
            <w:pPr>
              <w:spacing w:after="0" w:before="0" w:lineRule="auto" w:line="276"/>
              <w:jc w:val="left"/>
            </w:pPr>
            <w:r>
              <w:rPr>
                <w:rFonts w:ascii="Times New Roman" w:hAnsi="Times New Roman" w:cs="Times New Roman" w:eastAsia="Times New Roman"/>
                <w:b w:val="false"/>
                <w:sz w:val="26"/>
              </w:rPr>
              <w:t>Bộ luật 45/2019/QH14</w:t>
            </w:r>
          </w:p>
        </w:tc>
        <w:tc>
          <w:p/>
          <w:p>
            <w:pPr>
              <w:spacing w:after="0" w:before="0" w:lineRule="auto" w:line="276"/>
              <w:jc w:val="left"/>
            </w:pPr>
            <w:r>
              <w:rPr>
                <w:rFonts w:ascii="Times New Roman" w:hAnsi="Times New Roman" w:cs="Times New Roman" w:eastAsia="Times New Roman"/>
                <w:b w:val="false"/>
                <w:sz w:val="26"/>
              </w:rPr>
              <w:t>20-11-2019</w:t>
            </w:r>
          </w:p>
        </w:tc>
        <w:tc>
          <w:p/>
        </w:tc>
      </w:tr>
      <w:tr>
        <w:tc>
          <w:p/>
          <w:p>
            <w:pPr>
              <w:spacing w:after="0" w:before="0" w:lineRule="auto" w:line="276"/>
              <w:jc w:val="left"/>
            </w:pPr>
            <w:r>
              <w:rPr>
                <w:rFonts w:ascii="Times New Roman" w:hAnsi="Times New Roman" w:cs="Times New Roman" w:eastAsia="Times New Roman"/>
                <w:b w:val="false"/>
                <w:sz w:val="26"/>
              </w:rPr>
              <w:t>145/2020/NĐ-CP</w:t>
            </w:r>
          </w:p>
        </w:tc>
        <w:tc>
          <w:p/>
          <w:p>
            <w:pPr>
              <w:spacing w:after="0" w:before="0" w:lineRule="auto" w:line="276"/>
              <w:jc w:val="left"/>
            </w:pPr>
            <w:r>
              <w:rPr>
                <w:rFonts w:ascii="Times New Roman" w:hAnsi="Times New Roman" w:cs="Times New Roman" w:eastAsia="Times New Roman"/>
                <w:b w:val="false"/>
                <w:sz w:val="26"/>
              </w:rPr>
              <w:t>QUY ĐỊNH CHI TIẾT VÀ HƯỚNG DẪN THI HÀNH MỘT SỐ ĐIỀU CỦA BỘ LUẬT LAO ĐỘNG VỀ ĐIỀU KIỆN LAO ĐỘNG VÀ QUAN HỆ LAO ĐỘNG</w:t>
            </w:r>
          </w:p>
        </w:tc>
        <w:tc>
          <w:p/>
          <w:p>
            <w:pPr>
              <w:spacing w:after="0" w:before="0" w:lineRule="auto" w:line="276"/>
              <w:jc w:val="left"/>
            </w:pPr>
            <w:r>
              <w:rPr>
                <w:rFonts w:ascii="Times New Roman" w:hAnsi="Times New Roman" w:cs="Times New Roman" w:eastAsia="Times New Roman"/>
                <w:b w:val="false"/>
                <w:sz w:val="26"/>
              </w:rPr>
              <w:t>14-12-2020</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190/2025/QH15</w:t>
            </w:r>
          </w:p>
        </w:tc>
        <w:tc>
          <w:p/>
          <w:p>
            <w:pPr>
              <w:spacing w:after="0" w:before="0" w:lineRule="auto" w:line="276"/>
              <w:jc w:val="left"/>
            </w:pPr>
            <w:r>
              <w:rPr>
                <w:rFonts w:ascii="Times New Roman" w:hAnsi="Times New Roman" w:cs="Times New Roman" w:eastAsia="Times New Roman"/>
                <w:b w:val="false"/>
                <w:sz w:val="26"/>
              </w:rPr>
              <w:t>Nghị quyết số 190/2025/QH15 của Quốc hội: Quy định về xử lý một số vấn đề liên quan đến sắp xếp tổ chức bộ máy nhà nước</w:t>
            </w:r>
          </w:p>
        </w:tc>
        <w:tc>
          <w:p/>
          <w:p>
            <w:pPr>
              <w:spacing w:after="0" w:before="0" w:lineRule="auto" w:line="276"/>
              <w:jc w:val="left"/>
            </w:pPr>
            <w:r>
              <w:rPr>
                <w:rFonts w:ascii="Times New Roman" w:hAnsi="Times New Roman" w:cs="Times New Roman" w:eastAsia="Times New Roman"/>
                <w:b w:val="false"/>
                <w:sz w:val="26"/>
              </w:rPr>
              <w:t>19-02-2025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Nghị định số 25/2025/NĐ-CP</w:t>
            </w:r>
          </w:p>
        </w:tc>
        <w:tc>
          <w:p/>
          <w:p>
            <w:pPr>
              <w:spacing w:after="0" w:before="0" w:lineRule="auto" w:line="276"/>
              <w:jc w:val="left"/>
            </w:pPr>
            <w:r>
              <w:rPr>
                <w:rFonts w:ascii="Times New Roman" w:hAnsi="Times New Roman" w:cs="Times New Roman" w:eastAsia="Times New Roman"/>
                <w:b w:val="false"/>
                <w:sz w:val="26"/>
              </w:rPr>
              <w:t>Nghị định số 25/2025/NĐ-CP ngày 21 tháng 02 năm 2025 của Chính phủ quy định chức năng, nhiệm vụ, quyền hạn và cơ cấu tổ chức của Bộ Nội vụ</w:t>
            </w:r>
          </w:p>
        </w:tc>
        <w:tc>
          <w:p/>
          <w:p>
            <w:pPr>
              <w:spacing w:after="0" w:before="0" w:lineRule="auto" w:line="276"/>
              <w:jc w:val="left"/>
            </w:pPr>
            <w:r>
              <w:rPr>
                <w:rFonts w:ascii="Times New Roman" w:hAnsi="Times New Roman" w:cs="Times New Roman" w:eastAsia="Times New Roman"/>
                <w:b w:val="false"/>
                <w:sz w:val="26"/>
              </w:rPr>
              <w:t>21-02-2025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45/2025/NĐ-CP</w:t>
            </w:r>
          </w:p>
        </w:tc>
        <w:tc>
          <w:p/>
          <w:p>
            <w:pPr>
              <w:spacing w:after="0" w:before="0" w:lineRule="auto" w:line="276"/>
              <w:jc w:val="left"/>
            </w:pPr>
            <w:r>
              <w:rPr>
                <w:rFonts w:ascii="Times New Roman" w:hAnsi="Times New Roman" w:cs="Times New Roman" w:eastAsia="Times New Roman"/>
                <w:b w:val="false"/>
                <w:sz w:val="26"/>
              </w:rPr>
              <w:t>Nghị định số 45/2025/NĐ-CP của Chính phủ: Quy định tổ chức các cơ quan chuyên môn thuộc Ủy ban nhân dân tỉnh, thành phố trực thuộc trung ương và Ủy ban nhân dân huyện, quận, thị xã, thành phố thuộc tỉnh, thành phố thuộc thành phố trực thuộc trung ương</w:t>
            </w:r>
          </w:p>
        </w:tc>
        <w:tc>
          <w:p/>
          <w:p>
            <w:pPr>
              <w:spacing w:after="0" w:before="0" w:lineRule="auto" w:line="276"/>
              <w:jc w:val="left"/>
            </w:pPr>
            <w:r>
              <w:rPr>
                <w:rFonts w:ascii="Times New Roman" w:hAnsi="Times New Roman" w:cs="Times New Roman" w:eastAsia="Times New Roman"/>
                <w:b w:val="false"/>
                <w:sz w:val="26"/>
              </w:rPr>
              <w:t>28-02-2025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66.16/2026/NQ-CP</w:t>
            </w:r>
          </w:p>
        </w:tc>
        <w:tc>
          <w:p/>
          <w:p>
            <w:pPr>
              <w:spacing w:after="0" w:before="0" w:lineRule="auto" w:line="276"/>
              <w:jc w:val="left"/>
            </w:pPr>
            <w:r>
              <w:rPr>
                <w:rFonts w:ascii="Times New Roman" w:hAnsi="Times New Roman" w:cs="Times New Roman" w:eastAsia="Times New Roman"/>
                <w:b w:val="false"/>
                <w:sz w:val="26"/>
              </w:rPr>
              <w:t>Nghị quyết số 66.16/2026/NQ-CP ngày 07/4/2026 của Chính phủ về Cắt giảm, đơn giản hóa thủ tục hành chính, quy định liên quan đến hoạt động sản xuất, kinh doanh.</w:t>
            </w:r>
          </w:p>
        </w:tc>
        <w:tc>
          <w:p/>
          <w:p>
            <w:pPr>
              <w:spacing w:after="0" w:before="0" w:lineRule="auto" w:line="276"/>
              <w:jc w:val="left"/>
            </w:pPr>
            <w:r>
              <w:rPr>
                <w:rFonts w:ascii="Times New Roman" w:hAnsi="Times New Roman" w:cs="Times New Roman" w:eastAsia="Times New Roman"/>
                <w:b w:val="false"/>
                <w:sz w:val="26"/>
              </w:rPr>
              <w:t>07-04-2026</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Bảo đảm các điều kiện cấp giấy phép: (i) Người đại diện theo pháp luật của doanh nghiệp thực hiện hoạt động cho thuê lại lao động phải đảm bảo điều kiện: là người quản lý doanh nghiệp theo quy định của Luật Doanh nghiệp; không có án tích; đã có thời gian trực tiếp làm chuyên môn hoặc quản lý về cho thuê lại lao động hoặc cung ứng lao động từ đủ 03 năm (36 tháng) trở lên trong thời hạn 05 năm liền kề trước khi đề nghị cấp giấy phép. (ii) Doanh nghiệp đã thực hiện ký quỹ 2.000.000.000 đồng (hai tỷ Việt Nam đồng) tại ngân hàng thương mại của Việt Nam hoặc chi nhánh ngân hàng nước ngoài thành lập và hoạt động hợp pháp tại Việt Nam.
- Không thuộc trường hợp bị thu hồi giấy phép.
- Tuân thủ đầy đủ chế độ báo cáo.
- Hồ sơ đề nghị gia hạn giấy phép được gửi đến Sở Lao động - Thương binh và Xã hội trước ngày hết hiệu lực của giấy phép ít nhất 60 ngày làm việc.</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2026-05-05T15:52:54Z</dcterms:created>
  <dc:creator>Apache POI</dc:creator>
</cp:coreProperties>
</file>