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 Tại địa điểm đăng ký khai tử lưu động, công chức tư pháp - hộ tịch hướng dẫn người yêu cầu điền đầy đủ thông tin trong Tờ khai đăng ký khai tử, kiểm tra các giấy tờ làm cơ sở cho việc đăng ký khai tử;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hồ sơ, công chức tư pháp - hộ tịch báo cáo Chủ tịch Ủy ban nhân dân cấp xã. Trường hợp Chủ tịch Ủy ban nhân dân đồng ý giải quyết thì công chức tư pháp - hộ tịch thực hiện việc ghi vào Sổ đăng ký khai tử, cập nhật thông tin đăng ký khai tử và lưu chính thức trên Phần mềm đăng ký, quản lý hộ tịch điện tử dùng chung, in Trích lục khai tử, trình Chủ tịch Ủy ban nhân dân ký Trích lục khai tử cấp cho người có yêu cầu.</w:t>
      </w:r>
    </w:p>
    <w:p>
      <w:pPr>
        <w:spacing w:after="0" w:before="0" w:lineRule="auto" w:line="276"/>
        <w:jc w:val="both"/>
      </w:pPr>
      <w:r>
        <w:rPr>
          <w:rFonts w:ascii="Times New Roman" w:hAnsi="Times New Roman" w:cs="Times New Roman" w:eastAsia="Times New Roman"/>
          <w:b w:val="false"/>
          <w:sz w:val="26"/>
        </w:rPr>
        <w:t>- Công chức tư pháp - hộ tịch đem theo Trích lục khai tử và Sổ đăng ký khai tử để trả kết quả cho người có yêu cầu tại địa điểm đăng ký lưu động; hướng dẫn người yêu cầu kiểm tra nội dung Trích lục khai tử và Sổ đăng ký khai tử, ký, ghi rõ họ, tên trong Sổ đăng ký khai tử; tại mục “Ghi chú” trong Sổ đăng ký khai tử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w:t>
      </w:r>
    </w:p>
    <w:p>
      <w:pPr>
        <w:spacing w:after="0" w:before="0" w:lineRule="auto" w:line="276"/>
        <w:jc w:val="both"/>
      </w:pPr>
      <w:r>
        <w:rPr>
          <w:rFonts w:ascii="Times New Roman" w:hAnsi="Times New Roman" w:cs="Times New Roman" w:eastAsia="Times New Roman"/>
          <w:b w:val="false"/>
          <w:sz w:val="26"/>
        </w:rPr>
        <w:t>* Lưu ý: -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Theo mức thu lệ phí do Hội đồng nhân dân cấp tỉnh quy định.  Miễn lệ phí đối với trường hợp đăng ký khai tử đúng hạn; đăng ký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2026-05-11T11:23:21Z</dcterms:created>
  <dc:creator>Apache POI</dc:creator>
</cp:coreProperties>
</file>