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nơi hưởng trợ cấp thất nghiệp (chuyển đến)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người lao động nhận được hồ sơ chuyển nơi hưởng trợ cấp thất nghiệp, người lao động phải nộp hồ sơ chuyển nơi hưởng trợ cấp thất nghiệp cho trung tâm dịch vụ việc làm nơi chuyển đến.</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chuyển nơi hưởng trợ cấp thất nghiệp do người lao động chuyển đến, trung tâm dịch vụ việc làm gửi văn bản đề nghị Bảo hiểm xã hội cấp tỉnh nơi chuyển đến để tiếp tục thực hiện việc chi trả trợ cấp thất nghiệp theo Mẫu số 13 ban hành kèm theo Thông tư số 15/2023/TT-BLĐTBXH và cấp thẻ bảo hiểm y tế cho người lao động kèm theo bản chụp quyết định hưởng trợ cấp thất nghiệp của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
Người lao động phải đến trung tâm dịch vụ việc làm nơi chuyển đến để nộp hồ sơ chuyển nơi hưởng trợ cấp thất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chuyển nơi hưởng trợ cấp thất nghiệp theo Mẫu số 11 ban hành kèm theo Thông tư số 28/2015/TT-BLĐTBXH;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quyết định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các quyết định hỗ trợ học nghề, quyết định tạm dừng hưởng trợ cấp thất nghiệp, quyết định tiếp tục hưởng trợ cấp thất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thông báo về việc tìm kiếm việc làm hằng tháng (nếu có), các giấy tờ khác có trong hồ sơ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nghị chuyển nơi hưởng trợ cấp thất nghiệp của người lao động.</w:t>
            </w:r>
          </w:p>
        </w:tc>
        <w:tc>
          <w:p/>
          <w:p>
            <w:pPr>
              <w:spacing w:after="0" w:before="0" w:lineRule="auto" w:line="276"/>
              <w:jc w:val="left"/>
            </w:pPr>
            <w:r>
              <w:rPr>
                <w:rFonts w:ascii="Times New Roman" w:hAnsi="Times New Roman" w:cs="Times New Roman" w:eastAsia="Times New Roman"/>
                <w:b w:val="false"/>
                <w:sz w:val="26"/>
              </w:rPr>
              <w:t>6.Mus10BanhnhkmtheoThngts152023.docx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trực thuộc Sở Nội vụ tỉnh, thành phố trực thuộc trung ương nơi người lao động chuyển đến hưởng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Bảo hiểm xã hội cấp tỉnh nơi chuyển đến để tiếp tục thực hiện việc chi trả trợ cấp thất nghiệp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có nhu cầu hưởng trợ cấp thất nghiệp nơi chuyển đến.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2026-05-05T15:52:55Z</dcterms:created>
  <dc:creator>Apache POI</dc:creator>
</cp:coreProperties>
</file>