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bán buôn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phép bán buôn sản phẩm thuốc lá đã được cấp hết thời hạn hiệu lực.</w:t>
      </w:r>
    </w:p>
    <w:p>
      <w:pPr>
        <w:spacing w:after="0" w:before="0" w:lineRule="auto" w:line="276"/>
        <w:jc w:val="both"/>
      </w:pPr>
      <w:r>
        <w:rPr>
          <w:rFonts w:ascii="Times New Roman" w:hAnsi="Times New Roman" w:cs="Times New Roman" w:eastAsia="Times New Roman"/>
          <w:b w:val="false"/>
          <w:sz w:val="26"/>
        </w:rPr>
        <w:t>Trước thời hạn hết hiệu lực của giấy phép 30 ngày, tổ chức, cá nhân phải nộp hồ sơ đề nghị cấp lại giấy phép trong trường hợp tiếp tục kinh doanh.</w:t>
      </w:r>
    </w:p>
    <w:p>
      <w:pPr>
        <w:spacing w:after="0" w:before="0" w:lineRule="auto" w:line="276"/>
        <w:jc w:val="both"/>
      </w:pPr>
      <w:r>
        <w:rPr>
          <w:rFonts w:ascii="Times New Roman" w:hAnsi="Times New Roman" w:cs="Times New Roman" w:eastAsia="Times New Roman"/>
          <w:b w:val="false"/>
          <w:sz w:val="26"/>
        </w:rPr>
        <w:t>Trình tự thực hiện: 
+ Thương nhân bán buôn sản phẩm thuốc lá gửi 01 bộ hồ sơ về Sở Công Thương.
+ Sở Công Thương kiểm tra và tiếp nhận hồ sơ của thương nhân
+ Sở Công Thương tiến hành thẩm định hồ sơ và các điều kiện cần thiết để cấp phép hoặc từ chối cấp phép.</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phép bán buôn sản phẩm thuốc lá bị mất, bị tiêu hủy toàn bộ hoặc một phần, bị rách, nát hoặc bị cháy:</w:t>
      </w:r>
    </w:p>
    <w:p>
      <w:pPr>
        <w:spacing w:after="0" w:before="0" w:lineRule="auto" w:line="276"/>
        <w:jc w:val="both"/>
      </w:pPr>
      <w:r>
        <w:rPr>
          <w:rFonts w:ascii="Times New Roman" w:hAnsi="Times New Roman" w:cs="Times New Roman" w:eastAsia="Times New Roman"/>
          <w:b w:val="false"/>
          <w:sz w:val="26"/>
        </w:rPr>
        <w:t>- Tổ chức, cá nhân kinh doanh nộp 01 bộ hồ sơ đề nghị cấp lại đến Sở Công Thương. Sở Công Thương kiểm tra và tiếp nhận hồ sơ của thương nhân, trong thời hạn 15 ngày làm việc kể từ ngày nhận đủ hồ sơ, Sở Công Thương xem xét cấp laij Giấy phép. Trường hợp tổ chức, cá nhân không đáp ứng đủ điều kiện theo quy định Sở Công Thương có văn bản trả lời từ chối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Phí thẩm định (nếu có): Tại các huyện: 600.000 đồng/điểm kinh doanh/lần thẩm định. </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p>
            <w:pPr>
              <w:spacing w:after="0" w:before="0" w:lineRule="auto" w:line="276"/>
              <w:jc w:val="left"/>
            </w:pPr>
            <w:r>
              <w:rPr>
                <w:rFonts w:ascii="Times New Roman" w:hAnsi="Times New Roman" w:cs="Times New Roman" w:eastAsia="Times New Roman"/>
                <w:b w:val="false"/>
                <w:sz w:val="26"/>
              </w:rPr>
              <w:t xml:space="preserve">Phí : Phí thẩm định (nếu có): Tại thành phố và các thị xã: 1.200.000 đồng/điểm kinh doanh/lần thẩm định </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Phí thẩm định (nếu có): Tại các huyện: 600.000 đồng/điểm kinh doanh/lần thẩm định. </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p>
            <w:pPr>
              <w:spacing w:after="0" w:before="0" w:lineRule="auto" w:line="276"/>
              <w:jc w:val="left"/>
            </w:pPr>
            <w:r>
              <w:rPr>
                <w:rFonts w:ascii="Times New Roman" w:hAnsi="Times New Roman" w:cs="Times New Roman" w:eastAsia="Times New Roman"/>
                <w:b w:val="false"/>
                <w:sz w:val="26"/>
              </w:rPr>
              <w:t xml:space="preserve">Phí : Phí thẩm định (nếu có): Tại thành phố và các thị xã: 1.200.000 đồng/điểm kinh doanh/lần thẩm định </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Phí thẩm định (nếu có): Tại các huyện: 600.000 đồng/điểm kinh doanh/lần thẩm định. </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p>
            <w:pPr>
              <w:spacing w:after="0" w:before="0" w:lineRule="auto" w:line="276"/>
              <w:jc w:val="left"/>
            </w:pPr>
            <w:r>
              <w:rPr>
                <w:rFonts w:ascii="Times New Roman" w:hAnsi="Times New Roman" w:cs="Times New Roman" w:eastAsia="Times New Roman"/>
                <w:b w:val="false"/>
                <w:sz w:val="26"/>
              </w:rPr>
              <w:t xml:space="preserve">Phí : Phí thẩm định (nếu có): Tại thành phố và các thị xã: 1.200.000 đồng/điểm kinh doanh/lần thẩm định </w:t>
              <w:t xml:space="preserve"> (Thông tư số 168/2016/TT-BTC ngày 26 tháng 10 năm 2016 của Bộ trưởng Bộ Tài chính quy định mức thu, chế độ thu, nộp, quản lý và sử dụng phí thẩm định kinh doanh hàng hóa, dịch vụ hạn chế kinh doanh; hàng hóa, dịch vụ kinh doanh có điều kiện thuộc lĩnh vực thương mại và lệ phí cấp Giấy phép thành lập Sở Giao dịch hàng hóa.)</w:t>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phép bán buôn sản phẩm thuốc lá bị tiêu hủy toàn bộ hoặc một phần, bị rách, nát hoặc bị cháy.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lại Giấy phép bán buôn sản phẩm thuốc lá (Bản chính theo mẫu Phụ lục 50 Thông tư số 57/2018/TT-BCT);</w:t>
            </w:r>
          </w:p>
        </w:tc>
        <w:tc>
          <w:p/>
          <w:p>
            <w:pPr>
              <w:spacing w:after="0" w:before="0" w:lineRule="auto" w:line="276"/>
              <w:jc w:val="left"/>
            </w:pPr>
            <w:r>
              <w:rPr>
                <w:rFonts w:ascii="Times New Roman" w:hAnsi="Times New Roman" w:cs="Times New Roman" w:eastAsia="Times New Roman"/>
                <w:b w:val="false"/>
                <w:sz w:val="26"/>
              </w:rPr>
              <w:t>Phụ lục 50.docx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phép bán buôn sản phẩm thuốc lá đã được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Giấy phép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Giấy phép bán buôn sản phẩm thuốc lá; Phụ Lục 21 theo mẫu (Kèm theo Thông tư số 57/2018/TT-BCT ngày 26 tháng 12 năm 2018 của Bộ Công Thương)</w:t>
            </w:r>
          </w:p>
        </w:tc>
        <w:tc>
          <w:p/>
          <w:p>
            <w:pPr>
              <w:spacing w:after="0" w:before="0" w:lineRule="auto" w:line="276"/>
              <w:jc w:val="left"/>
            </w:pPr>
            <w:r>
              <w:rPr>
                <w:rFonts w:ascii="Times New Roman" w:hAnsi="Times New Roman" w:cs="Times New Roman" w:eastAsia="Times New Roman"/>
                <w:b w:val="false"/>
                <w:sz w:val="26"/>
              </w:rPr>
              <w:t>PHỤ LỤC 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doanh nghiệp hoặc Giấy chứng nhận đăng ký kinh doanh và Giấy chứng nhận mã số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các văn bản giới thiệu của Nhà cung cấp sản phẩm thuốc lá hoặc các thương nhân phân phối sản phẩm thuốc lá ghi rõ địa bàn dự kiến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Bảng kê danh sách thương nhân, bản sao Giấy chứng nhận đăng ký doanh nghiệp hoặc Giấy chứng nhận đăng ký kinh doanh và Giấy chứng nhận mã số thuế, Giấy phép kinh doanh sản phẩm thuốc lá (nếu đã kinh doanh) của các thương nhân đã hoặc sẽ thuộc hệ thống phân phối sản phẩm thuốc lá trên địa bàn;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Báo cáo kết quả kinh doanh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buôn sản phẩm thuốc lá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Nghị định 106/2017/NĐ-CP</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được thành lập theo quy định của pháp luật ;
b) Địa điểm kinh doanh không vi phạm quy định về địa điểm không được bán thuốc lá theo quy định tại Khoản 2 Điều 25 (Bán thuốc lá) Luật Phòng, chống tác hại của thuốc lá năm 2012; 
c) Có hệ thống bán buôn sản phẩm thuốc lá trên địa bàn tỉnh nơi thương nhân đặt trụ sở chính (tối thiểu phải từ 02 thương nhân bán lẻ sản phẩm thuốc lá trở lên);
d) Có văn bản giới thiệu của Nhà cung cấp sản phẩm thuốc lá hoặc của các thương nhân phân phối sản phẩm thuốc lá ghi rõ địa bàn dự kiến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2026-05-31T01:01:41Z</dcterms:created>
  <dc:creator>Apache POI</dc:creator>
</cp:coreProperties>
</file>