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phiên hiệu thanh niên xung phong ở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thanh niên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xác nhận phiên hiệu đơn vị thanh niên xung phong có trách nhiệm gửi 01 bộ hồ sơ đến Hội Cựu thanh niên xung phong cấp tỉnh.</w:t>
      </w:r>
    </w:p>
    <w:p>
      <w:pPr>
        <w:spacing w:after="0" w:before="0" w:lineRule="auto" w:line="276"/>
        <w:jc w:val="both"/>
      </w:pPr>
      <w:r>
        <w:rPr>
          <w:rFonts w:ascii="Times New Roman" w:hAnsi="Times New Roman" w:cs="Times New Roman" w:eastAsia="Times New Roman"/>
          <w:b w:val="false"/>
          <w:sz w:val="26"/>
        </w:rPr>
        <w:t>Hội Cựu thanh niên xung phong cấp tỉnh có trách nhiệm tiếp nhận, hướng dẫn bổ sung để hoàn chỉnh hồ sơ và có văn bản gửi Sở Nội vụ xem xét, trình UBND cấp tỉnh.</w:t>
      </w:r>
    </w:p>
    <w:p>
      <w:pPr>
        <w:spacing w:after="0" w:before="0" w:lineRule="auto" w:line="276"/>
        <w:jc w:val="both"/>
      </w:pPr>
      <w:r>
        <w:rPr>
          <w:rFonts w:ascii="Times New Roman" w:hAnsi="Times New Roman" w:cs="Times New Roman" w:eastAsia="Times New Roman"/>
          <w:b w:val="false"/>
          <w:sz w:val="26"/>
        </w:rPr>
        <w:t>Sở Nội vụ trình UBND cấp tỉnh xem xét, quyết định xác nhận phiên hiệu đơn vị thanh niên xung phong (đối với trường hợp có đủ hồ sơ) hoặc trả lời bằng văn bản (đối với trường hợp không đủ hồ sơ).</w:t>
      </w:r>
    </w:p>
    <w:p>
      <w:pPr>
        <w:spacing w:after="0" w:before="0" w:lineRule="auto" w:line="276"/>
        <w:jc w:val="both"/>
      </w:pPr>
      <w:r>
        <w:rPr>
          <w:rFonts w:ascii="Times New Roman" w:hAnsi="Times New Roman" w:cs="Times New Roman" w:eastAsia="Times New Roman"/>
          <w:b w:val="false"/>
          <w:sz w:val="26"/>
        </w:rPr>
        <w:t>UBND cấp tỉnh xem xét, quyết định hoặc trả lời bằng văn bản việc xác nhận phiên hiệu đơn vị thanh niên xung phong.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có yêu cầu xác nhận phiên hiệu đơn vị thanh niên xung phong lập 01 bộ hồ sơ theo quy định gửi trực tiếp đến Hội Cựu thanh niên xung phong cấp tỉnh để đề nghị Sở Nội vụ xem xét, trình UBND cấp tỉnh xem xét, quyết định hoặc trả lời bằng văn bản việc xác nhận phiên hiệu đơn vị thanh niên xung phong.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tổ chức, cá nhân đề nghị xác nhận phiên hiệu đơn vị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cần thiết (bản chính hoặc bản sao) theo tiêu chí quy định tại Điều 4, Điều 5, Điều 6, Điều 7 Chương II Thông tư số 18/2014/TT-BNV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bằng văn bản của UBND cấp tỉnh về việc xác nhận phiên hiệu đơn vị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12/2011/NĐ-CP</w:t>
            </w:r>
          </w:p>
        </w:tc>
        <w:tc>
          <w:p/>
          <w:p>
            <w:pPr>
              <w:spacing w:after="0" w:before="0" w:lineRule="auto" w:line="276"/>
              <w:jc w:val="left"/>
            </w:pPr>
            <w:r>
              <w:rPr>
                <w:rFonts w:ascii="Times New Roman" w:hAnsi="Times New Roman" w:cs="Times New Roman" w:eastAsia="Times New Roman"/>
                <w:b w:val="false"/>
                <w:sz w:val="26"/>
              </w:rPr>
              <w:t>Nghị định số 12/2011/NĐ-CP ngày 30/01/2011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30-01-2011</w:t>
            </w:r>
          </w:p>
        </w:tc>
        <w:tc>
          <w:p/>
        </w:tc>
      </w:tr>
      <w:tr>
        <w:tc>
          <w:p/>
          <w:p>
            <w:pPr>
              <w:spacing w:after="0" w:before="0" w:lineRule="auto" w:line="276"/>
              <w:jc w:val="left"/>
            </w:pPr>
            <w:r>
              <w:rPr>
                <w:rFonts w:ascii="Times New Roman" w:hAnsi="Times New Roman" w:cs="Times New Roman" w:eastAsia="Times New Roman"/>
                <w:b w:val="false"/>
                <w:sz w:val="26"/>
              </w:rPr>
              <w:t>18/2014/TT-BNV</w:t>
            </w:r>
          </w:p>
        </w:tc>
        <w:tc>
          <w:p/>
          <w:p>
            <w:pPr>
              <w:spacing w:after="0" w:before="0" w:lineRule="auto" w:line="276"/>
              <w:jc w:val="left"/>
            </w:pPr>
            <w:r>
              <w:rPr>
                <w:rFonts w:ascii="Times New Roman" w:hAnsi="Times New Roman" w:cs="Times New Roman" w:eastAsia="Times New Roman"/>
                <w:b w:val="false"/>
                <w:sz w:val="26"/>
              </w:rPr>
              <w:t>Thông tư số 18/2014/TT-BNV ngày 25/11/2014 của Bộ trưởng Bộ Nội vụ Quy định việc xác nhận phiên hiệu đơn vị thanh niên xung phong đã được thành lập và hoạt động trong các thời kỳ đối với đơn vị chưa được xác định phiên hiệu</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2026-05-05T15:52:00Z</dcterms:created>
  <dc:creator>Apache POI</dc:creator>
</cp:coreProperties>
</file>