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1.014848.H18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phương án bảo vệ công trình thủy lợi do Chủ tịch Ủy ban nhân dân cấp tỉnh phân cấp cho Chủ tịch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3: Xem xét hồ sơ và trình phê duyệt:
a) Trong thời hạn 18 ngày làm việc kể từ ngày nhận đủ hồ sơ, cơ quan chuyên môn được Chủ tịch Ủy ban nhân dân cấp xã giao giải quyết hồ sơ tổ chức thẩm định và trình Chủ tịch Ủy ban nhân dân cấp xã xem xét, quyết định;
 b) Nội dung thẩm định: Kiểm tra cơ sở pháp lý của hồ sơ; kiểm tra, đánh giá độ tin cậy các tài liệu, số liệu sử dụng; nhận xét, đánh giá tính hợp lý, tính khả thi của hồ sơ và dự thảo phương án; đề xuất biện pháp hoàn thiện (nếu cần).
c) Trong thời hạn 02 ngày làm việc kể từ ngày nhận được hồ sơ trình của cơ quan chuyên môn được giao giải quyết hồ sơ, Chủ tịch Ủy ban nhân dân cấp xã quyết định phê duyệt phương án bảo vệ công trình thủy lợi theo Mẫu số 02 tại Phụ lục II ban hành kèm theo Nghị định số 40/2026/NĐ-CP ngày 25/01/2026; trường hợp không phê duyệt, phải có văn bản thông báo và nêu rõ lý do cho tổ chức, cá nhân khai thác công trình thủy lợi.</w:t>
      </w:r>
    </w:p>
    <w:p>
      <w:pPr>
        <w:spacing w:after="0" w:before="0" w:lineRule="auto" w:line="276"/>
        <w:jc w:val="both"/>
      </w:pPr>
      <w:r>
        <w:rPr>
          <w:rFonts w:ascii="Times New Roman" w:hAnsi="Times New Roman" w:cs="Times New Roman" w:eastAsia="Times New Roman"/>
          <w:b w:val="false"/>
          <w:sz w:val="26"/>
        </w:rPr>
        <w:t>Bước 2: Hoàn chỉnh hồ sơ:
Ủy ban nhân dân cấp xã trả lời ngay tính đầy đủ của thành phần hồ sơ đối với trường hợp nộp trực tiếp; trả lời bằng văn bản trong 01 ngày làm việc, kể từ ngày nhận được hồ sơ, nếu thành phần hồ sơ chưa đầy đủ đối với trường hợp nộp hồ sơ qua dịch vụ bưu chính hoặc qua Cổng Dịch vụ công quốc gia. Trường hợp cơ quan tiếp nhận hồ sơ sau 16 giờ thì văn bản trả lời được gửi trong ngày làm việc tiếp theo.</w:t>
      </w:r>
    </w:p>
    <w:p>
      <w:pPr>
        <w:spacing w:after="0" w:before="0" w:lineRule="auto" w:line="276"/>
        <w:jc w:val="both"/>
      </w:pPr>
      <w:r>
        <w:rPr>
          <w:rFonts w:ascii="Times New Roman" w:hAnsi="Times New Roman" w:cs="Times New Roman" w:eastAsia="Times New Roman"/>
          <w:b w:val="false"/>
          <w:sz w:val="26"/>
        </w:rPr>
        <w:t>Bước 1: Tổ chức, cá nhân nộp hồ sơ đến UBND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phê duyệt phương án bảo vệ công trình thủy lợi theo Mẫu số 01 tại Phụ lục II ban hành kèm theo Nghị định số 40/2026/NĐ-CP ngày 25/01/2026</w:t>
            </w:r>
          </w:p>
        </w:tc>
        <w:tc>
          <w:p/>
          <w:p>
            <w:pPr>
              <w:spacing w:after="0" w:before="0" w:lineRule="auto" w:line="276"/>
              <w:jc w:val="left"/>
            </w:pPr>
            <w:r>
              <w:rPr>
                <w:rFonts w:ascii="Times New Roman" w:hAnsi="Times New Roman" w:cs="Times New Roman" w:eastAsia="Times New Roman"/>
                <w:b w:val="false"/>
                <w:sz w:val="26"/>
              </w:rPr>
              <w:t>Mauso01.docx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phương án bảo vệ công trình thủy lợi theo Mẫu số 03 tại Phụ lục II ban hành kèm theo Nghị định số 40/2026/NĐ-CP ngày 25/01/2026</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vẽ (nếu có) hoặc sơ họa mặt bằng công trình và các hạng mục công trình cần bảo vệ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của các cơ quan, đơn vị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liên quan khác kèm theo (nếu có).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bảo vệ công trình thủy lợi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2026-05-31T01:06:54Z</dcterms:created>
  <dc:creator>Apache POI</dc:creator>
</cp:coreProperties>
</file>