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1.014863.H18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gia hạn, điều chỉnh nội dung giấy phép cho các hoạt động trong phạm vi bảo vệ công trình thủy lợi đối với hoạt động: du lịch, thể thao, nghiên cứu khoa học, kinh doanh, dịch vụ do Chủ tịch UBND cấp tỉnh phân cấp cho Chủ tịch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2: Hoàn chỉnh hồ sơ:
Ủy ban nhân dân cấp xã trả lời ngay tính đầy đủ của thành phần hồ sơ đối với trường hợp nộp trực tiếp; trả lời bằng văn bản trong 01 ngày làm việc, kể từ ngày nhận được hồ sơ, nếu thành phần hồ sơ chưa đầy đủ đối với trường hợp nộp hồ sơ qua dịch vụ bưu chính hoặc trực tuyến tại Cổng Dịch vụ công quốc gia. Trường hợp cơ quan tiếp nhận hồ sơ sau 16 giờ thì văn bản trả lời được gửi trong ngày làm việc tiếp theo.</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05 ngày làm việc, kể từ ngày nhận đủ hồ sơ, cơ quan chuyên môn được Ủy ban nhân dân cấp xã giao giải quyết hồ sơ tổ chức thẩm định và trình Chủ tịch Ủy ban nhân dân cấp xã xem xét, cấp giấy phép gia hạn, điều chỉnh nội dung. Trường hợp không đủ điều kiện, phải có văn bản trả lời tổ chức, cá nhân và nêu rõ lý do không cấp giấy phép.</w:t>
      </w:r>
    </w:p>
    <w:p>
      <w:pPr>
        <w:spacing w:after="0" w:before="0" w:lineRule="auto" w:line="276"/>
        <w:jc w:val="both"/>
      </w:pPr>
      <w:r>
        <w:rPr>
          <w:rFonts w:ascii="Times New Roman" w:hAnsi="Times New Roman" w:cs="Times New Roman" w:eastAsia="Times New Roman"/>
          <w:b w:val="false"/>
          <w:sz w:val="26"/>
        </w:rPr>
        <w:t>Bước 1: Tổ chức, cá nhân nộp hồ sơ đến UBND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gia hạn, điều chỉnh nội dung giấy phép theo mẫu đơn (quy định tại Phụ lục III ban hành kèm theo Nghị định số 40/2026/NĐ-CP ngày 25/01/2026</w:t>
            </w:r>
          </w:p>
        </w:tc>
        <w:tc>
          <w:p/>
          <w:p>
            <w:pPr>
              <w:spacing w:after="0" w:before="0" w:lineRule="auto" w:line="276"/>
              <w:jc w:val="left"/>
            </w:pPr>
            <w:r>
              <w:rPr>
                <w:rFonts w:ascii="Times New Roman" w:hAnsi="Times New Roman" w:cs="Times New Roman" w:eastAsia="Times New Roman"/>
                <w:b w:val="false"/>
                <w:sz w:val="26"/>
              </w:rPr>
              <w:t>Maudondenghicapgiahangiayphep.docx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họa vị trí khu vực tiến hành hoạt động đề nghị gia hạn, điều chỉnh nội dung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giấy phép được cấp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ý kiến của tổ chức, cá nhân khai thác công trình thủy lợi về tình hình thực hiện giấy phép được cấp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các dự án đầu tư trong phạm vi bảo vệ của công trình thủy lợi, hồ sơ đề nghị gia hạn, điều chỉnh nội dung giấy phép phải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thành lập hoặc bản sao giấy chứng nhận đăng ký doanh nghiệp, cập nhật đến thời điểm đề nghị gia hạn, điều chỉnh nội dung giấy phép (trong trường hợp chưa được tích hợp, kết nối và chia sẻ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có thay đổi quy mô, công suất, thông số chủ yếu của các hoạt động được cấp phép phải bổ sung các tài liệu tương ứng với nội dung thay đổi theo quy định của pháp luật có liên quan như: quyết định phê duyệt điều chỉnh, bổ sung quy hoạch, chủ trương đầu tư, dự án đầu tư; quyết định phê duyệt kết quả thẩm định báo cáo đánh giá tác động môi trường, giấy phép môi trường hoặc đăng ký môi trường đã được cơ quan có thẩm quyền ban hành (nếu thuộc đối tượng phải lập, điều chỉnh); thông báo thẩm định thiết kế cơ sở, bản vẽ thiết kế của dự án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trong phạm vi bảo vệ công trình thủy lợi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40/2026/NĐ-CP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Thủy lợi</w:t>
            </w:r>
          </w:p>
        </w:tc>
        <w:tc>
          <w:p/>
          <w:p>
            <w:pPr>
              <w:spacing w:after="0" w:before="0" w:lineRule="auto" w:line="276"/>
              <w:jc w:val="left"/>
            </w:pPr>
            <w:r>
              <w:rPr>
                <w:rFonts w:ascii="Times New Roman" w:hAnsi="Times New Roman" w:cs="Times New Roman" w:eastAsia="Times New Roman"/>
                <w:b w:val="false"/>
                <w:sz w:val="26"/>
              </w:rPr>
              <w:t>25-01-2026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2026-05-31T01:11:24Z</dcterms:created>
  <dc:creator>Apache POI</dc:creator>
</cp:coreProperties>
</file>