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chặt hạ, dịch chuyển cây xanh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Hạ tầng kỹ thuật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thủ tục hành chính:
Tổ chức, cá nhân lập hồ sơ đề nghị cấp giấy phép chặt hạ, dịch chuyển cây xanh gửi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b) Giải quyết thủ tục hành chính: Trong thời hạn 10 ngày làm việc kể từ ngày nhận đủ hồ sơ (hoặc 20 ngày làm việc đối với trường hợp đề chặt hạ, dịch chuyển có cây xanh thuộc danh mục cây xanh cần bảo tồn), cơ quan nhà nước có thẩm quyền theo phân cấp của Ủy ban nhân dân tỉnh (tại Quyết định số Quyết định số 14/2026/QĐUBND ngày 07/02/2026 của Ủy ban nhân dân tỉnh ban hành Quy định quản lý và phân cấp quản lý hạ tầng kỹ thuật trên địa bàn tỉnh Điện Biên) xem xét, cấp giấy phép chặt hạ, dịch chuyển cây xanh hoặc thông báo cho tổ chức, cá nhân kết quả giải quyết trong trường hợp cây xanh không đủ điều kiện để chặt hạ, dịch chuyển.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20 ngày làm việc (đối với trường hợp đề nghị chặt hạ, dịch chuyển cây xanh thuộc danh mục cây xanh cần bảo tồn);
- Không quá 10 ngày làm việc (đối với các trường hợp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Ảnh chụp hiện trạng cây xanh đô thị cần chặt hạ, dịch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chặt hạ, dịch chuyển cây xanh đô thị; nêu rõ vị trí chặt hạ, dịch chuyển, kích thước loại cây và lý do cần chặt hạ, dịch chuyển cây xanh đô thị</w:t>
            </w:r>
          </w:p>
        </w:tc>
        <w:tc>
          <w:p/>
          <w:p>
            <w:pPr>
              <w:spacing w:after="0" w:before="0" w:lineRule="auto" w:line="276"/>
              <w:jc w:val="left"/>
            </w:pPr>
            <w:r>
              <w:rPr>
                <w:rFonts w:ascii="Times New Roman" w:hAnsi="Times New Roman" w:cs="Times New Roman" w:eastAsia="Times New Roman"/>
                <w:b w:val="false"/>
                <w:sz w:val="26"/>
              </w:rPr>
              <w:t>MuPhlc.docx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 hoặc Trung tâm Phục vụ hành chính công tỉnh Điện Biên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chặt hạ, di dời cây xanh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258/2025/NĐ-CP</w:t>
            </w:r>
          </w:p>
        </w:tc>
        <w:tc>
          <w:p/>
          <w:p>
            <w:pPr>
              <w:spacing w:after="0" w:before="0" w:lineRule="auto" w:line="276"/>
              <w:jc w:val="left"/>
            </w:pPr>
            <w:r>
              <w:rPr>
                <w:rFonts w:ascii="Times New Roman" w:hAnsi="Times New Roman" w:cs="Times New Roman" w:eastAsia="Times New Roman"/>
                <w:b w:val="false"/>
                <w:sz w:val="26"/>
              </w:rPr>
              <w:t>258/2025/NĐ-CP</w:t>
            </w:r>
          </w:p>
        </w:tc>
        <w:tc>
          <w:p/>
          <w:p>
            <w:pPr>
              <w:spacing w:after="0" w:before="0" w:lineRule="auto" w:line="276"/>
              <w:jc w:val="left"/>
            </w:pPr>
            <w:r>
              <w:rPr>
                <w:rFonts w:ascii="Times New Roman" w:hAnsi="Times New Roman" w:cs="Times New Roman" w:eastAsia="Times New Roman"/>
                <w:b w:val="false"/>
                <w:sz w:val="26"/>
              </w:rPr>
              <w:t>09-10-2025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14/2026/QĐ-UBND</w:t>
            </w:r>
          </w:p>
        </w:tc>
        <w:tc>
          <w:p/>
          <w:p>
            <w:pPr>
              <w:spacing w:after="0" w:before="0" w:lineRule="auto" w:line="276"/>
              <w:jc w:val="left"/>
            </w:pPr>
            <w:r>
              <w:rPr>
                <w:rFonts w:ascii="Times New Roman" w:hAnsi="Times New Roman" w:cs="Times New Roman" w:eastAsia="Times New Roman"/>
                <w:b w:val="false"/>
                <w:sz w:val="26"/>
              </w:rPr>
              <w:t>Ban hành Quy định quản lý và phân cấp quản lý hạ tầng kỹ thuật trên địa bàn tỉnh Điện Biên</w:t>
            </w:r>
          </w:p>
        </w:tc>
        <w:tc>
          <w:p/>
          <w:p>
            <w:pPr>
              <w:spacing w:after="0" w:before="0" w:lineRule="auto" w:line="276"/>
              <w:jc w:val="left"/>
            </w:pPr>
            <w:r>
              <w:rPr>
                <w:rFonts w:ascii="Times New Roman" w:hAnsi="Times New Roman" w:cs="Times New Roman" w:eastAsia="Times New Roman"/>
                <w:b w:val="false"/>
                <w:sz w:val="26"/>
              </w:rPr>
              <w:t>07-02-2026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Cây xanh đã chết, đã đổ gãy hoặc có nguy cơ gãy đổ gây nguy hiểm;
2. Cây xanh chết do bị bệnh hoặc đến tuổi già cỗi không bảo đảm an toàn;
3. Cây xanh trong các khu vực thực hiện dự án đầu tư xây dựng công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2026-05-31T01:04:31Z</dcterms:created>
  <dc:creator>Apache POI</dc:creator>
</cp:coreProperties>
</file>