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đủ điều kiện sản xuất trang thiết bị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sản xuất trang thiết bị y tế, cơ sở sản xuất trang thiết bị y tế có trách nhiệm nộp hồ sơ công bố về Sở Y tế nơi đặt địa điểm sản xuất (việc xác định địa điểm sản xuất được dựa vào địa điểm ghi trong giấy chứng nhận hệ thống quản lý chất lượng). Trường hợp có nhiều địa điểm sản xuất tại nhiều tỉnh khác nhau thì phải thực hiện việc công bố theo từng tỉnh.</w:t>
      </w:r>
    </w:p>
    <w:p>
      <w:pPr>
        <w:spacing w:after="0" w:before="0" w:lineRule="auto" w:line="276"/>
        <w:jc w:val="both"/>
      </w:pPr>
      <w:r>
        <w:rPr>
          <w:rFonts w:ascii="Times New Roman" w:hAnsi="Times New Roman" w:cs="Times New Roman" w:eastAsia="Times New Roman"/>
          <w:b w:val="false"/>
          <w:sz w:val="26"/>
        </w:rPr>
        <w:t>Bước 2: Khi nhận hồ sơ (bao gồm cả giấy tờ xác nhận đã nộp phí theo quy định của Bộ Tài chính), Sở Y tế trên địa bàn nơi đặt cơ sở sản xuất trang thiết bị y tế đăng tải công khai trên Cổng thông tin điện tử về quản lý trang thiết bị y tế các thông tin và hồ sơ công bố đủ điều kiện sản xuất trang thiết bị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 Điều kiện kinh doanh lĩnh vực trang thiết bị y tế)</w:t>
            </w:r>
          </w:p>
        </w:tc>
        <w:tc>
          <w:p/>
          <w:p>
            <w:pPr>
              <w:spacing w:after="0" w:before="0" w:lineRule="auto" w:line="276"/>
              <w:jc w:val="left"/>
            </w:pPr>
            <w:r>
              <w:rPr>
                <w:rFonts w:ascii="Times New Roman" w:hAnsi="Times New Roman" w:cs="Times New Roman" w:eastAsia="Times New Roman"/>
                <w:b w:val="false"/>
                <w:sz w:val="26"/>
              </w:rPr>
              <w:t>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sản xuất theo Mẫu số 01 quy định tại Phụ lục I ban hành kèm theo Thông tư 19/2021/TT-BYT;</w:t>
            </w:r>
          </w:p>
        </w:tc>
        <w:tc>
          <w:p/>
          <w:p>
            <w:pPr>
              <w:spacing w:after="0" w:before="0" w:lineRule="auto" w:line="276"/>
              <w:jc w:val="left"/>
            </w:pPr>
            <w:r>
              <w:rPr>
                <w:rFonts w:ascii="Times New Roman" w:hAnsi="Times New Roman" w:cs="Times New Roman" w:eastAsia="Times New Roman"/>
                <w:b w:val="false"/>
                <w:sz w:val="26"/>
              </w:rPr>
              <w:t>Mẫu số 1 Văn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ISO 13485 được cấp bởi tổ chức đánh giá sự phù hợp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chứng minh đáp ứng điều kiện quy định tại khoản 2 Điều 8 Nghị định 98/2021/NĐ-CP.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khai trên Cổng thông tin điện tử về quản lý trang thiết bị y tế các thông tin và hồ sơ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98/2021/NĐ-CP</w:t>
            </w:r>
          </w:p>
        </w:tc>
        <w:tc>
          <w:p/>
          <w:p>
            <w:pPr>
              <w:spacing w:after="0" w:before="0" w:lineRule="auto" w:line="276"/>
              <w:jc w:val="left"/>
            </w:pPr>
            <w:r>
              <w:rPr>
                <w:rFonts w:ascii="Times New Roman" w:hAnsi="Times New Roman" w:cs="Times New Roman" w:eastAsia="Times New Roman"/>
                <w:b w:val="false"/>
                <w:sz w:val="26"/>
              </w:rPr>
              <w:t>08-11-2021</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8 Nghị định số 98/2021/NĐ-CP Điều kiện về quản lý chất lượng của cơ sở sản xuất trang thiết bị y tế
1. Đạt tiêu chuẩn hệ thống quản lý chất lượng ISO 13485.
2. Đối với cơ sở sản xuất trang thiết bị y tế có chứa chất ma túy và tiền chất, ngoài việc đáp ứng các điều kiện quy định tại khoản 1 Điều này, phải đáp ứng thêm các yêu cầu sau đây:
a) Có hệ thống theo dõi quản lý quá trình xuất, nhập, tồn kho, sử dụng nguyên liệu là chất ma túy và tiền chất, quá trình xuất, nhập, tồn kho trang thiết bị y tế, nguyên liệu có chứa chất ma túy và tiền chất;
b) Trang thiết bị y tế, nguyên liệu có chứa chất ma túy và tiền chất được bảo quản ở một khu vực riêng trong kho hoặc kho riêng, phải bảo đảm an toàn.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2026-05-10T17:38:48Z</dcterms:created>
  <dc:creator>Apache POI</dc:creator>
</cp:coreProperties>
</file>