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phải đề nghị bổ sung Giấy phép trong các trường hợp sau:
+ Bổ sung nguồn phóng xạ mới, thiết bị bức xạ mới so với Giấy phép đã được cấp (cùng thủ tục hành chính);
+ Tăng tổng hoạt độ đối với nguồn phóng xạ hở trong Giấy phép đã được cấp.</w:t>
      </w:r>
    </w:p>
    <w:p>
      <w:pPr>
        <w:spacing w:after="0" w:before="0" w:lineRule="auto" w:line="276"/>
        <w:jc w:val="both"/>
      </w:pPr>
      <w:r>
        <w:rPr>
          <w:rFonts w:ascii="Times New Roman" w:hAnsi="Times New Roman" w:cs="Times New Roman" w:eastAsia="Times New Roman"/>
          <w:b w:val="false"/>
          <w:sz w:val="26"/>
        </w:rPr>
        <w:t>- Tổ chức, cá nhân đề nghị bổ sung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 nộp 01 bộ hồ sơ đến 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false"/>
          <w:sz w:val="26"/>
        </w:rPr>
        <w:t>- Trường hợp nộp hồ sơ trực tiếp, Trung tâm Phục vụ hành chính công cấp tỉnh (Ủy ban nhân dân cấp tỉnh) phải kiểm tra tính đầy đủ, hợp lệ của hồ sơ và thu phí, lệ phí (nếu có) đối với hồ sơ hợp lệ. Trường hợp nộp hồ sơ qua dịch vụ bưu chính hoặc trực tuyến, Trung tâm Phục vụ hành chính công cấp tỉnh (Ủy ban nhân dân cấp tỉnh) trong thời hạn 03 ngày làm việc phải kiểm tra tính đầy đủ, hợp lệ của hồ sơ và thông báo thông báo bằng văn bản mức phí, lệ phí (nếu có) đối với hồ sơ hợp lệ (trường hợp tổ chức, cá nhân nộp nhiều hồ sơ cùng thời điểm, cơ quan tiếp nhận hồ sơ phát hành 01 bản thông báo mức phí, lệ phí cho tất cả hồ sơ) hoặc thông báo bằng văn bản yêu cầu sửa đổi, bổ sung hồ sơ nếu hồ sơ chưa đầy đủ, hợp lệ hoặc thông báo trực tuyến trên Cổng dịch vụ công quốc gia.</w:t>
      </w:r>
    </w:p>
    <w:p>
      <w:pPr>
        <w:spacing w:after="0" w:before="0" w:lineRule="auto" w:line="276"/>
        <w:jc w:val="both"/>
      </w:pPr>
      <w:r>
        <w:rPr>
          <w:rFonts w:ascii="Times New Roman" w:hAnsi="Times New Roman" w:cs="Times New Roman" w:eastAsia="Times New Roman"/>
          <w:b w:val="false"/>
          <w:sz w:val="26"/>
        </w:rPr>
        <w:t>- Trong thời hạn 18 ngày làm việc kể từ ngày nhận hồ sơ hợp lệ và phí, lệ phí (nếu có), Ủy ban nhân dân cấp tỉnh tổ chức thẩm định (biên bản thẩm định theo Mẫu 06 Phụ lục X) và bổ sung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  hoặc văn bản trả lời nêu rõ lý do trong trường hợp không cấp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bổ sung Giấy phép tiến hành công việc bức xạ theo Mẫu số 07 Phụ lục VIII ban hành kèm theo Nghị định số 332/2025/NĐ-CP.</w:t>
            </w:r>
          </w:p>
        </w:tc>
        <w:tc>
          <w:p/>
          <w:p>
            <w:pPr>
              <w:spacing w:after="0" w:before="0" w:lineRule="auto" w:line="276"/>
              <w:jc w:val="left"/>
            </w:pPr>
            <w:r>
              <w:rPr>
                <w:rFonts w:ascii="Times New Roman" w:hAnsi="Times New Roman" w:cs="Times New Roman" w:eastAsia="Times New Roman"/>
                <w:b w:val="false"/>
                <w:sz w:val="26"/>
              </w:rPr>
              <w:t>Mus07-PL08-MauDonsuadoibosungGiayphep.docx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Phiếu khai báo nguồn phóng xạ, thiết bị bức xạ mới theo mẫu tương ứng quy định tại Phụ lục VII của Nghị định số 332/2025/NĐ-CP đối với trường hợp bổ sung nguồn phóng xạ, thiết bị bức xạ; kèm theo bản sao tài liệu của nhà sản xuất cung cấp các thông tin như trong phiếu khai báo;</w:t>
            </w:r>
          </w:p>
        </w:tc>
        <w:tc>
          <w:p/>
          <w:p>
            <w:pPr>
              <w:spacing w:after="0" w:before="0" w:lineRule="auto" w:line="276"/>
              <w:jc w:val="left"/>
            </w:pPr>
            <w:r>
              <w:rPr>
                <w:rFonts w:ascii="Times New Roman" w:hAnsi="Times New Roman" w:cs="Times New Roman" w:eastAsia="Times New Roman"/>
                <w:b w:val="false"/>
                <w:sz w:val="26"/>
              </w:rPr>
              <w:t>Mus09-PL07-PhieukhaibaothietbiphattiaXtruthietbiXquangtrongyte.docx</w:t>
            </w:r>
          </w:p>
          <w:p>
            <w:pPr>
              <w:spacing w:after="0" w:before="0" w:lineRule="auto" w:line="276"/>
              <w:jc w:val="left"/>
            </w:pPr>
            <w:r>
              <w:rPr>
                <w:rFonts w:ascii="Times New Roman" w:hAnsi="Times New Roman" w:cs="Times New Roman" w:eastAsia="Times New Roman"/>
                <w:b w:val="false"/>
                <w:sz w:val="26"/>
              </w:rPr>
              <w:t>Mus08-PL07-PhieukhaibaothietbiXquangyte-PET-SPECT.docx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Báo cáo đánh giá an toàn đối với công việc bức xạ bổ sung theo mẫu tương ứng quy định tại Phụ lục IX của Nghị định số 332/2025/NĐ-CP với trường hợp cần cập nhật về hãng, nước sản xuất.</w:t>
            </w:r>
          </w:p>
        </w:tc>
        <w:tc>
          <w:p/>
          <w:p>
            <w:pPr>
              <w:spacing w:after="0" w:before="0" w:lineRule="auto" w:line="276"/>
              <w:jc w:val="left"/>
            </w:pPr>
            <w:r>
              <w:rPr>
                <w:rFonts w:ascii="Times New Roman" w:hAnsi="Times New Roman" w:cs="Times New Roman" w:eastAsia="Times New Roman"/>
                <w:b w:val="false"/>
                <w:sz w:val="26"/>
              </w:rPr>
              <w:t>MAUSO04.DOC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 (được bổ sung) theo Mẫu số 02 tại Phụ lục X ban hành kèm theo Nghị định số 332/2025/NĐ-CP.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94/2025/QH15 ngày 27/6/2025</w:t>
            </w:r>
          </w:p>
        </w:tc>
        <w:tc>
          <w:p/>
          <w:p>
            <w:pPr>
              <w:spacing w:after="0" w:before="0" w:lineRule="auto" w:line="276"/>
              <w:jc w:val="left"/>
            </w:pPr>
            <w:r>
              <w:rPr>
                <w:rFonts w:ascii="Times New Roman" w:hAnsi="Times New Roman" w:cs="Times New Roman" w:eastAsia="Times New Roman"/>
                <w:b w:val="false"/>
                <w:sz w:val="26"/>
              </w:rPr>
              <w:t>Luật Năng lượng nguyên tử số 94/2025/QH15 ngày 27 tháng 6 năm 2025.</w:t>
            </w:r>
          </w:p>
        </w:tc>
        <w:tc>
          <w:p/>
          <w:p>
            <w:pPr>
              <w:spacing w:after="0" w:before="0" w:lineRule="auto" w:line="276"/>
              <w:jc w:val="left"/>
            </w:pPr>
            <w:r>
              <w:rPr>
                <w:rFonts w:ascii="Times New Roman" w:hAnsi="Times New Roman" w:cs="Times New Roman" w:eastAsia="Times New Roman"/>
                <w:b w:val="false"/>
                <w:sz w:val="26"/>
              </w:rPr>
              <w:t>27-06-2025</w:t>
            </w:r>
          </w:p>
        </w:tc>
        <w:tc>
          <w:p/>
        </w:tc>
      </w:tr>
      <w:tr>
        <w:tc>
          <w:p/>
          <w:p>
            <w:pPr>
              <w:spacing w:after="0" w:before="0" w:lineRule="auto" w:line="276"/>
              <w:jc w:val="left"/>
            </w:pPr>
            <w:r>
              <w:rPr>
                <w:rFonts w:ascii="Times New Roman" w:hAnsi="Times New Roman" w:cs="Times New Roman" w:eastAsia="Times New Roman"/>
                <w:b w:val="false"/>
                <w:sz w:val="26"/>
              </w:rPr>
              <w:t>332/2025/NĐ-CP</w:t>
            </w:r>
          </w:p>
        </w:tc>
        <w:tc>
          <w:p/>
          <w:p>
            <w:pPr>
              <w:spacing w:after="0" w:before="0" w:lineRule="auto" w:line="276"/>
              <w:jc w:val="left"/>
            </w:pPr>
            <w:r>
              <w:rPr>
                <w:rFonts w:ascii="Times New Roman" w:hAnsi="Times New Roman" w:cs="Times New Roman" w:eastAsia="Times New Roman"/>
                <w:b w:val="false"/>
                <w:sz w:val="26"/>
              </w:rPr>
              <w:t>Trang chủ Nghị định số 332/2025/NĐ-CP của Chính phủ</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2026-05-01T13:39:55Z</dcterms:created>
  <dc:creator>Apache POI</dc:creator>
</cp:coreProperties>
</file>