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1.014632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2417/QĐ-BXD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mua, thuê mua, thuê nhà ở xã hội, vay vốn để hộ gia đình, cá nhân tự xây dựng hoặc cải tạo, sửa chữa nhà 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Nhà ở và công sở</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Trường hợp 1: Xác nhận  điều kiện về nhà ở để  được mua, thuê mua nhà  ở xã hội/nhà ở cho lực  lượng vũ trang nhân dân  (trường hợp chưa có nhà  ở thuộc sở hữu của  mình)</w:t>
      </w:r>
    </w:p>
    <w:p>
      <w:pPr>
        <w:spacing w:after="0" w:before="0" w:lineRule="auto" w:line="276"/>
        <w:jc w:val="both"/>
      </w:pPr>
      <w:r>
        <w:rPr>
          <w:rFonts w:ascii="Times New Roman" w:hAnsi="Times New Roman" w:cs="Times New Roman" w:eastAsia="Times New Roman"/>
          <w:b w:val="false"/>
          <w:sz w:val="26"/>
        </w:rPr>
        <w:t>a) Người kê khai gửi giấy xác nhận điều kiện về nhà ở gửi đến Văn phòng đăng ký đất đai/Chi nhánh Văn phòng đăng ký đất đai tại các đơn vị hành chính cấp xã hoặc liên xã, phường thuộc tỉnh, thành phố trực thuộc trung ương nơi có dự án nhà ở xã hội đó.
b) Trong thời hạn 07 ngày, kể từ ngày nhận được đơn đề nghị xác nhận, Văn phòng đăng ký đất đai/Chi nhánh Văn phòng đăng ký đất đai tại các đơn vị hành chính cấp xã hoặc liên xã, phường thuộc tỉnh, thành phố trực thuộc trung ương nơi có dự án nhà ở xã hội đó xác định người kê khai và vợ hoặc chồng của người kê khai không có tên trong Giấy chứng nhận quyền sử dụng đất, quyền sở hữu tài sản gắn liền với đất tại tỉnh, thành phố trực thuộc trung ương nơi có dự án nhà ở xã hội tại thời điểm nộp hồ sơ đăng ký mua, thuê mua nhà ở xã hội và thực hiện việc xác nhận vào mẫu giấy tờ này.</w:t>
      </w:r>
    </w:p>
    <w:p>
      <w:pPr>
        <w:shd w:val="clear" w:color="auto" w:fill="F2F6F9"/>
        <w:spacing w:after="0" w:before="120" w:lineRule="auto" w:line="276"/>
        <w:jc w:val="both"/>
      </w:pPr>
      <w:r>
        <w:rPr>
          <w:rFonts w:ascii="Times New Roman" w:hAnsi="Times New Roman" w:cs="Times New Roman" w:eastAsia="Times New Roman"/>
          <w:b w:val="true"/>
          <w:sz w:val="26"/>
        </w:rPr>
        <w:t>Trường hợp 2: Xác nhận điều kiện về nhà ở để được mua, thuê mua nhà ở xã hội/nhà ở cho lực lượng vũ trang nhân dân (trường hợp có nhà ở nhưng diện tích nhà ở bình quân đầu người thấp hơn 15m2 sàn/người).</w:t>
      </w:r>
    </w:p>
    <w:p>
      <w:pPr>
        <w:spacing w:after="0" w:before="0" w:lineRule="auto" w:line="276"/>
        <w:jc w:val="both"/>
      </w:pPr>
      <w:r>
        <w:rPr>
          <w:rFonts w:ascii="Times New Roman" w:hAnsi="Times New Roman" w:cs="Times New Roman" w:eastAsia="Times New Roman"/>
          <w:b w:val="false"/>
          <w:sz w:val="26"/>
        </w:rPr>
        <w:t>a) Người kê khai gửi giấy xác nhận điều kiện về nhà ở gửi đến Ủy ban nhân dân cấp xã nơi người kê khai đang cư trú theo hình thức đăng ký thường trú.
b) Trong thời hạn 07 ngày, kể từ ngày nhận được đơn đề nghị xác nhận, Ủy ban nhân dân cấp xã thực hiện xác nhận.</w:t>
      </w:r>
    </w:p>
    <w:p>
      <w:pPr>
        <w:shd w:val="clear" w:color="auto" w:fill="F2F6F9"/>
        <w:spacing w:after="0" w:before="120" w:lineRule="auto" w:line="276"/>
        <w:jc w:val="both"/>
      </w:pPr>
      <w:r>
        <w:rPr>
          <w:rFonts w:ascii="Times New Roman" w:hAnsi="Times New Roman" w:cs="Times New Roman" w:eastAsia="Times New Roman"/>
          <w:b w:val="true"/>
          <w:sz w:val="26"/>
        </w:rPr>
        <w:t>Trường hợp 3: Xác nhận điều kiện vay vốn ưu đãi của Nhà nước thông qua Ngân hàng Chính sách xã hội để hộ gia đình, cá nhân tự xây dựng hoặc cải tạo, sửa chữa nhà ở.</w:t>
      </w:r>
    </w:p>
    <w:p>
      <w:pPr>
        <w:spacing w:after="0" w:before="0" w:lineRule="auto" w:line="276"/>
        <w:jc w:val="both"/>
      </w:pPr>
      <w:r>
        <w:rPr>
          <w:rFonts w:ascii="Times New Roman" w:hAnsi="Times New Roman" w:cs="Times New Roman" w:eastAsia="Times New Roman"/>
          <w:b w:val="false"/>
          <w:sz w:val="26"/>
        </w:rPr>
        <w:t>a) Người kê khai gửi giấy tờ chứng minh điều kiện vay vốn ưu đãi của Nhà nước thông qua Ngân hàng Chính sách xã hội để hộ gia đình, cá nhân tự xây dựng hoặc cải tạo, sửa chữa nhà ở gửi đến Ủy ban nhân dân cấp xã nơi người kê khai đăng ký thường trú.
b) Ủy ban nhân dân cấp xã nơi người kê khai đăng ký thường trú đối chiếu điều kiện để được vay vốn ưu đãi, thực hiện việc xác nhận.</w:t>
      </w:r>
    </w:p>
    <w:p>
      <w:pPr>
        <w:shd w:val="clear" w:color="auto" w:fill="F2F6F9"/>
        <w:spacing w:after="0" w:before="120" w:lineRule="auto" w:line="276"/>
        <w:jc w:val="both"/>
      </w:pPr>
      <w:r>
        <w:rPr>
          <w:rFonts w:ascii="Times New Roman" w:hAnsi="Times New Roman" w:cs="Times New Roman" w:eastAsia="Times New Roman"/>
          <w:b w:val="true"/>
          <w:sz w:val="26"/>
        </w:rPr>
        <w:t>Trường hợp 4: Xác nhận điều kiện vay vốn ưu đãi của Nhà nước tại tổ chức tín dụng do Nhà nước chỉ định để hộ gia đình, cá nhân tự xây dựng hoặc cải tạo, sửa chữa nhà ở</w:t>
      </w:r>
    </w:p>
    <w:p>
      <w:pPr>
        <w:spacing w:after="0" w:before="0" w:lineRule="auto" w:line="276"/>
        <w:jc w:val="both"/>
      </w:pPr>
      <w:r>
        <w:rPr>
          <w:rFonts w:ascii="Times New Roman" w:hAnsi="Times New Roman" w:cs="Times New Roman" w:eastAsia="Times New Roman"/>
          <w:b w:val="false"/>
          <w:sz w:val="26"/>
        </w:rPr>
        <w:t>a) Người kê khai gửi giấy tờ chứng minh điều kiện vay vốn ưu đãi của Nhà nước tại tổ chức tín dụng do Nhà nước chỉ định để hộ gia đình, cá nhân tự xây dựng hoặc cải tạo, sửa chữa nhà ở gửi đến Ủy ban nhân dân cấp xã nơi người kê khai đăng ký thường trú.
b) Ủy ban nhân dân cấp xã nơi người kê khai đăng ký thường trú đối chiếu điều kiện để được vay vốn ưu đãi, thực hiện việc xác nhận.</w:t>
      </w:r>
    </w:p>
    <w:p>
      <w:pPr>
        <w:shd w:val="clear" w:color="auto" w:fill="F2F6F9"/>
        <w:spacing w:after="0" w:before="120" w:lineRule="auto" w:line="276"/>
        <w:jc w:val="both"/>
      </w:pPr>
      <w:r>
        <w:rPr>
          <w:rFonts w:ascii="Times New Roman" w:hAnsi="Times New Roman" w:cs="Times New Roman" w:eastAsia="Times New Roman"/>
          <w:b w:val="true"/>
          <w:sz w:val="26"/>
        </w:rPr>
        <w:t>Trường hợp 5: Xác nhận đối tượng được hưởng chính sách hỗ trợ về nhà ở xã hội (áp dụng cho các đối tượng quy định tại các khoản 9, 10, 11 Điều 76 của Luật Nhà ở và đối tượng quy định tại khoản 5 Điều 76 của Luật Nhà ở không có hợp đồng lao động, không được hưởng lương hưu do cơ quan Bảo hiểm xã hội chi trả)</w:t>
      </w:r>
    </w:p>
    <w:p>
      <w:pPr>
        <w:spacing w:after="0" w:before="0" w:lineRule="auto" w:line="276"/>
        <w:jc w:val="both"/>
      </w:pPr>
      <w:r>
        <w:rPr>
          <w:rFonts w:ascii="Times New Roman" w:hAnsi="Times New Roman" w:cs="Times New Roman" w:eastAsia="Times New Roman"/>
          <w:b w:val="false"/>
          <w:sz w:val="26"/>
        </w:rPr>
        <w:t>a) Người kê khai gửi giấy tờ chứng minh đối tượng gửi đến Ủy ban nhân dân cấp xã nơi người kê khai đăng ký thường trú hoặc tạm trú hoặc nơi ở hiện tại trong trường hợp: (i) đối tượng quy định tại khoản 5 Điều 76 của Luật Nhà ở không có hợp đồng lao động, không được hưởng lương hưu do cơ quan Bảo hiểm xã hội chi trả; (ii) đối tượng quy định tại khoản 10 Điều 76 của Luật Nhà ở.
b) Ủy ban nhân dân cấp xã nơi người kê khai đăng ký thường trú hoặc tạm trú hoặc nơi ở hiện tại thực hiện việc xác nhận.</w:t>
      </w:r>
    </w:p>
    <w:p>
      <w:pPr>
        <w:shd w:val="clear" w:color="auto" w:fill="F2F6F9"/>
        <w:spacing w:after="0" w:before="120" w:lineRule="auto" w:line="276"/>
        <w:jc w:val="both"/>
      </w:pPr>
      <w:r>
        <w:rPr>
          <w:rFonts w:ascii="Times New Roman" w:hAnsi="Times New Roman" w:cs="Times New Roman" w:eastAsia="Times New Roman"/>
          <w:b w:val="true"/>
          <w:sz w:val="26"/>
        </w:rPr>
        <w:t>Trường hợp 6: Xác nhận đối tượng, thu nhập để được hưởng chính sách hỗ trợ về nhà ở xã hội (áp dụng cho các đối tượng quy định tại các khoản 5, 6, 8 Điều 76 của Luật Nhà ở, trừ đối tượng quy định tại khoản 5 Điều 76 của Luật Nhà ở không có hợp đồng lao động, không được hưởng lương hưu do cơ quan Bảo hiểm xã hội chi trả).</w:t>
      </w:r>
    </w:p>
    <w:p>
      <w:pPr>
        <w:spacing w:after="0" w:before="0" w:lineRule="auto" w:line="276"/>
        <w:jc w:val="both"/>
      </w:pPr>
      <w:r>
        <w:rPr>
          <w:rFonts w:ascii="Times New Roman" w:hAnsi="Times New Roman" w:cs="Times New Roman" w:eastAsia="Times New Roman"/>
          <w:b w:val="false"/>
          <w:sz w:val="26"/>
        </w:rPr>
        <w:t>a) Người kê khai gửi giấy tờ chứng minh đối tượng, thu nhập gửi đến cơ quan Bảo hiểm xã hội hoặc Ủy ban nhân dân cấp xã nơi người kê khai đăng ký thường trú hoặc tạm trú hoặc nơi ở hiện tại.
b) Cơ quan Bảo hiểm xã hội hoặc Ủy ban nhân dân cấp xã nơi người kê khai đăng ký thường trú hoặc tạm trú hoặc nơi ở hiện tại thực hiện việc xác nhận.</w:t>
      </w:r>
    </w:p>
    <w:p>
      <w:pPr>
        <w:shd w:val="clear" w:color="auto" w:fill="F2F6F9"/>
        <w:spacing w:after="0" w:before="120" w:lineRule="auto" w:line="276"/>
        <w:jc w:val="both"/>
      </w:pPr>
      <w:r>
        <w:rPr>
          <w:rFonts w:ascii="Times New Roman" w:hAnsi="Times New Roman" w:cs="Times New Roman" w:eastAsia="Times New Roman"/>
          <w:b w:val="true"/>
          <w:sz w:val="26"/>
        </w:rPr>
        <w:t>Trường hợp 7: Xác nhận điều kiện về thu nhập để được mua, thuê mua nhà ở xã hội (áp dụng cho đối tượng quy định tại khoản 5 Điều 76 của Luật Nhà ở không có hợp đồng lao động, không được hưởng lương hưu do cơ quan Bảo hiểm xã hội chi trả).</w:t>
      </w:r>
    </w:p>
    <w:p>
      <w:pPr>
        <w:spacing w:after="0" w:before="0" w:lineRule="auto" w:line="276"/>
        <w:jc w:val="both"/>
      </w:pPr>
      <w:r>
        <w:rPr>
          <w:rFonts w:ascii="Times New Roman" w:hAnsi="Times New Roman" w:cs="Times New Roman" w:eastAsia="Times New Roman"/>
          <w:b w:val="false"/>
          <w:sz w:val="26"/>
        </w:rPr>
        <w:t>a) Người kê khai gửi giấy tờ chứng minh điều kiện về thu nhập để được mua, thuê mua nhà ở xã hội gửi đến Cơ quan Công an cấp xã nơi thường trú hoặc tạm trú hoặc nơi ở hiện tại.
b) Trong thời hạn 07 ngày, kể từ ngày nhận được đơn đề nghị xác nhận Cơ quan Công an cấp xã nơi thường trú hoặc tạm trú hoặc nơi ở hiện tại thực hiện việc xác nhận.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Tối đa 07 ngày, kể từ ngày tiếp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Tối đa 07 ngày, kể từ ngày tiếp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Tối đa 07 ngày, kể từ ngày tiếp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1: Xác nhận điều kiện về nhà ở để được mua, thuê mua  nhà ở xã hội/nhà ở cho lực lượng vũ trang nhân dân (trường hợp chưa có  nhà ở thuộc sở hữu của mình).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tờ chứng minh điều kiện về nhà ở để được mua, thuê mua  nhà ở xã hội/nhà ở cho lực lượng vũ trang nhân dân</w:t>
            </w:r>
          </w:p>
        </w:tc>
        <w:tc>
          <w:p/>
          <w:p>
            <w:pPr>
              <w:spacing w:after="0" w:before="0" w:lineRule="auto" w:line="276"/>
              <w:jc w:val="left"/>
            </w:pPr>
            <w:r>
              <w:rPr>
                <w:rFonts w:ascii="Times New Roman" w:hAnsi="Times New Roman" w:cs="Times New Roman" w:eastAsia="Times New Roman"/>
                <w:b w:val="false"/>
                <w:sz w:val="26"/>
              </w:rPr>
              <w:t>Mus02.docx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2: Xác nhận điều kiện về nhà ở để được mua, thuê mua nhà ở xã hội/nhà ở cho lực lượng vũ trang nhân dân (trường hợp có nhà ở nhưng diện tích nhà ở bình quân đầu người thấp hơn 15m2 sàn/người).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tờ chứng minh điều kiện về nhà ở để được mua, thuê mua nhà ở xã hội/nhà ở cho lực lượng vũ trang nhân dân (trường hợp có nhà ở nhưng diện tích nhà ở bình quân đầu người thấp hơn 15m2 sàn/người).</w:t>
            </w:r>
          </w:p>
        </w:tc>
        <w:tc>
          <w:p/>
          <w:p>
            <w:pPr>
              <w:spacing w:after="0" w:before="0" w:lineRule="auto" w:line="276"/>
              <w:jc w:val="left"/>
            </w:pPr>
            <w:r>
              <w:rPr>
                <w:rFonts w:ascii="Times New Roman" w:hAnsi="Times New Roman" w:cs="Times New Roman" w:eastAsia="Times New Roman"/>
                <w:b w:val="false"/>
                <w:sz w:val="26"/>
              </w:rPr>
              <w:t>Mus03.docx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3: Xác nhận điều kiện vay vốn ưu đãi của Nhà nước thông qua Ngân hàng Chính sách xã hội để hộ gia đình, cá nhân tự xây dựng hoặc cải tạo, sửa chữa nhà ở.</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tờ chứng minh điều kiện vay vốn ưu đãi của Nhà nước thông qua Ngân hàng Chính sách xã hội để hộ gia đình, cá nhân tự xây dựng hoặc cải tạo, sửa chữa nhà ở.</w:t>
            </w:r>
          </w:p>
        </w:tc>
        <w:tc>
          <w:p/>
          <w:p>
            <w:pPr>
              <w:spacing w:after="0" w:before="0" w:lineRule="auto" w:line="276"/>
              <w:jc w:val="left"/>
            </w:pPr>
            <w:r>
              <w:rPr>
                <w:rFonts w:ascii="Times New Roman" w:hAnsi="Times New Roman" w:cs="Times New Roman" w:eastAsia="Times New Roman"/>
                <w:b w:val="false"/>
                <w:sz w:val="26"/>
              </w:rPr>
              <w:t>Mus06.docx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4: Xác nhận điều kiện vay vốn ưu đãi của Nhà nước tại tổ chức tín dụng do Nhà nước chỉ định để hộ gia đình, cá nhân tự xây dựng hoặc cải tạo, sửa chữa nhà ở</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tờ chứng minh điều kiện vay vốn ưu đãi của Nhà nước tại tổ chức tín dụng do Nhà nước chỉ định để hộ gia đình, cá nhân tự xây dựng hoặc cải tạo, sửa chữa nhà ở.</w:t>
            </w:r>
          </w:p>
        </w:tc>
        <w:tc>
          <w:p/>
          <w:p>
            <w:pPr>
              <w:spacing w:after="0" w:before="0" w:lineRule="auto" w:line="276"/>
              <w:jc w:val="left"/>
            </w:pPr>
            <w:r>
              <w:rPr>
                <w:rFonts w:ascii="Times New Roman" w:hAnsi="Times New Roman" w:cs="Times New Roman" w:eastAsia="Times New Roman"/>
                <w:b w:val="false"/>
                <w:sz w:val="26"/>
              </w:rPr>
              <w:t>Mus07.docx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5: Xác nhận đối tượng được hưởng chính sách hỗ trợ về nhà ở xã hội (áp dụng cho các đối tượng quy định tại các khoản 9, 10, 11 Điều 76 của Luật Nhà ở và đối tượng quy định tại khoản 5 Điều 76 của Luật Nhà ở không có hợp đồng lao động, không được hưởng lương hưu do cơ quan Bảo hiểm xã hội chi trả)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tờ chứng minh đối tượng được hưởng chính sách hỗ trợ về nhà ở xã hội (áp dụng cho các đối tượng quy định tại các khoản 9, 10, 11 Điều 76 của Luật Nhà ở và đối tượng quy định tại khoản 5 Điều 76 của Luật Nhà ở không có hợp đồng lao động, không được hưởng lương hưu do cơ quan Bảo hiểm xã hội chi trả).</w:t>
            </w:r>
          </w:p>
        </w:tc>
        <w:tc>
          <w:p/>
          <w:p>
            <w:pPr>
              <w:spacing w:after="0" w:before="0" w:lineRule="auto" w:line="276"/>
              <w:jc w:val="left"/>
            </w:pPr>
            <w:r>
              <w:rPr>
                <w:rFonts w:ascii="Times New Roman" w:hAnsi="Times New Roman" w:cs="Times New Roman" w:eastAsia="Times New Roman"/>
                <w:b w:val="false"/>
                <w:sz w:val="26"/>
              </w:rPr>
              <w:t>Mus01.docx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6: Xác nhận đối tượng, thu nhập để được hưởng chính sách hỗ trợ về nhà ở xã hội (áp dụng cho các đối tượng quy định tại các khoản 5, 6, 8 Điều 76 của Luật Nhà ở, trừ đối tượng quy định tại khoản 5 Điều 76 của Luật Nhà ở không có hợp đồng lao động, không được hưởng lương hưu do cơ quan Bảo hiểm xã hội chi trả).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tờ chứng minh đối tượng, thu nhập để được hưởng chính sách hỗ trợ về nhà ở xã hội (áp dụng cho các đối tượng quy định tại các khoản 5, 6, 8 Điều 76 của Luật Nhà ở, trừ đối tượng quy định tại khoản 5 Điều 76 của Luật Nhà ở không có hợp đồng lao động, không được hưởng lương hưu do cơ quan Bảo hiểm xã hội chi trả).</w:t>
            </w:r>
          </w:p>
        </w:tc>
        <w:tc>
          <w:p/>
          <w:p>
            <w:pPr>
              <w:spacing w:after="0" w:before="0" w:lineRule="auto" w:line="276"/>
              <w:jc w:val="left"/>
            </w:pPr>
            <w:r>
              <w:rPr>
                <w:rFonts w:ascii="Times New Roman" w:hAnsi="Times New Roman" w:cs="Times New Roman" w:eastAsia="Times New Roman"/>
                <w:b w:val="false"/>
                <w:sz w:val="26"/>
              </w:rPr>
              <w:t>Mus01a.docx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7: Xác nhận điều kiện về thu nhập để được mua, thuê mua nhà ở xã hội (áp dụng cho đối tượng quy định tại khoản 5 Điều 76 của Luật Nhà ở không có hợp đồng lao động, không được hưởng lương hưu do cơ quan Bảo hiểm xã hội chi trả).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tờ chứng minh điều kiện về thu nhập để được mua, thuê mua nhà ở xã hội (áp dụng cho đối tượng quy định tại khoản 5 Điều 76 của Luật Nhà ở không có hợp đồng lao động, không được hưởng lương hưu do cơ quan Bảo hiểm xã hội chi trả).</w:t>
            </w:r>
          </w:p>
        </w:tc>
        <w:tc>
          <w:p/>
          <w:p>
            <w:pPr>
              <w:spacing w:after="0" w:before="0" w:lineRule="auto" w:line="276"/>
              <w:jc w:val="left"/>
            </w:pPr>
            <w:r>
              <w:rPr>
                <w:rFonts w:ascii="Times New Roman" w:hAnsi="Times New Roman" w:cs="Times New Roman" w:eastAsia="Times New Roman"/>
                <w:b w:val="false"/>
                <w:sz w:val="26"/>
              </w:rPr>
              <w:t>Mus05.docx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Đảng viên</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Xã, Ủy ban nhân dân cấp xã,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27/2023/QH15</w:t>
            </w:r>
          </w:p>
        </w:tc>
        <w:tc>
          <w:p/>
          <w:p>
            <w:pPr>
              <w:spacing w:after="0" w:before="0" w:lineRule="auto" w:line="276"/>
              <w:jc w:val="left"/>
            </w:pPr>
            <w:r>
              <w:rPr>
                <w:rFonts w:ascii="Times New Roman" w:hAnsi="Times New Roman" w:cs="Times New Roman" w:eastAsia="Times New Roman"/>
                <w:b w:val="false"/>
                <w:sz w:val="26"/>
              </w:rPr>
              <w:t>Luật Nhà ở số 27/2023/QH15</w:t>
            </w:r>
          </w:p>
        </w:tc>
        <w:tc>
          <w:p/>
          <w:p>
            <w:pPr>
              <w:spacing w:after="0" w:before="0" w:lineRule="auto" w:line="276"/>
              <w:jc w:val="left"/>
            </w:pPr>
            <w:r>
              <w:rPr>
                <w:rFonts w:ascii="Times New Roman" w:hAnsi="Times New Roman" w:cs="Times New Roman" w:eastAsia="Times New Roman"/>
                <w:b w:val="false"/>
                <w:sz w:val="26"/>
              </w:rPr>
              <w:t>27-11-2023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100/2024/NĐ-CP</w:t>
            </w:r>
          </w:p>
        </w:tc>
        <w:tc>
          <w:p/>
          <w:p>
            <w:pPr>
              <w:spacing w:after="0" w:before="0" w:lineRule="auto" w:line="276"/>
              <w:jc w:val="left"/>
            </w:pPr>
            <w:r>
              <w:rPr>
                <w:rFonts w:ascii="Times New Roman" w:hAnsi="Times New Roman" w:cs="Times New Roman" w:eastAsia="Times New Roman"/>
                <w:b w:val="false"/>
                <w:sz w:val="26"/>
              </w:rPr>
              <w:t>Nghị định số 100/2024/NĐ-CP ngày 26 tháng 7 năm 2024 của Chính phủ quy định chi tiết một số điều của Luật Nhà ở về phát triển và quản lý nhà ở xã hội</w:t>
            </w:r>
          </w:p>
        </w:tc>
        <w:tc>
          <w:p/>
          <w:p>
            <w:pPr>
              <w:spacing w:after="0" w:before="0" w:lineRule="auto" w:line="276"/>
              <w:jc w:val="left"/>
            </w:pPr>
            <w:r>
              <w:rPr>
                <w:rFonts w:ascii="Times New Roman" w:hAnsi="Times New Roman" w:cs="Times New Roman" w:eastAsia="Times New Roman"/>
                <w:b w:val="false"/>
                <w:sz w:val="26"/>
              </w:rPr>
              <w:t>26-07-2024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05/2024/TT-BXD</w:t>
            </w:r>
          </w:p>
        </w:tc>
        <w:tc>
          <w:p/>
          <w:p>
            <w:pPr>
              <w:spacing w:after="0" w:before="0" w:lineRule="auto" w:line="276"/>
              <w:jc w:val="left"/>
            </w:pPr>
            <w:r>
              <w:rPr>
                <w:rFonts w:ascii="Times New Roman" w:hAnsi="Times New Roman" w:cs="Times New Roman" w:eastAsia="Times New Roman"/>
                <w:b w:val="false"/>
                <w:sz w:val="26"/>
              </w:rPr>
              <w:t>Thông tư số 05/2024/TT-BXD ngày 31 tháng 7 năm 2024 của Bộ trưởng Bộ Xây dựng về quy định chi tiết một số điều của Luật Nhà ở;</w:t>
            </w:r>
          </w:p>
        </w:tc>
        <w:tc>
          <w:p/>
          <w:p>
            <w:pPr>
              <w:spacing w:after="0" w:before="0" w:lineRule="auto" w:line="276"/>
              <w:jc w:val="left"/>
            </w:pPr>
            <w:r>
              <w:rPr>
                <w:rFonts w:ascii="Times New Roman" w:hAnsi="Times New Roman" w:cs="Times New Roman" w:eastAsia="Times New Roman"/>
                <w:b w:val="false"/>
                <w:sz w:val="26"/>
              </w:rPr>
              <w:t>31-07-2024</w:t>
            </w:r>
          </w:p>
        </w:tc>
        <w:tc>
          <w:p/>
          <w:p>
            <w:pPr>
              <w:spacing w:after="0" w:before="0" w:lineRule="auto" w:line="276"/>
              <w:jc w:val="left"/>
            </w:pPr>
            <w:r>
              <w:rPr>
                <w:rFonts w:ascii="Times New Roman" w:hAnsi="Times New Roman" w:cs="Times New Roman" w:eastAsia="Times New Roman"/>
                <w:b w:val="false"/>
                <w:sz w:val="26"/>
              </w:rPr>
              <w:t>Bộ Xây dựng</w:t>
            </w:r>
          </w:p>
        </w:tc>
      </w:tr>
      <w:tr>
        <w:tc>
          <w:p/>
          <w:p>
            <w:pPr>
              <w:spacing w:after="0" w:before="0" w:lineRule="auto" w:line="276"/>
              <w:jc w:val="left"/>
            </w:pPr>
            <w:r>
              <w:rPr>
                <w:rFonts w:ascii="Times New Roman" w:hAnsi="Times New Roman" w:cs="Times New Roman" w:eastAsia="Times New Roman"/>
                <w:b w:val="false"/>
                <w:sz w:val="26"/>
              </w:rPr>
              <w:t>261/2025/NĐ-CP</w:t>
            </w:r>
          </w:p>
        </w:tc>
        <w:tc>
          <w:p/>
          <w:p>
            <w:pPr>
              <w:spacing w:after="0" w:before="0" w:lineRule="auto" w:line="276"/>
              <w:jc w:val="left"/>
            </w:pPr>
            <w:r>
              <w:rPr>
                <w:rFonts w:ascii="Times New Roman" w:hAnsi="Times New Roman" w:cs="Times New Roman" w:eastAsia="Times New Roman"/>
                <w:b w:val="false"/>
                <w:sz w:val="26"/>
              </w:rPr>
              <w:t>- Nghị định số 261/2025/NĐ-CP ngày 10/10/2025 của Chính phủ về sửa đổi. bổ sung một số điều của Nghị định số 100/2024/NĐ-CP ngày 26/7/2024 của                  Chính phủ quy định chi tiết một số điều của Luật Nhà ở về phát triển và quản lý nhà ở xã hội và Nghị định số 192/2025/NĐ-CP ngày 01/7/2025 của Chính phủ quy định chi tiết một số điều và biện pháp thi hành Nghị quyết số 201/2025/QH15 ngày 29/5/2025 của Quốc hội thí điểm về một số cơ chế, chính sách đặc thù phát triển nhà ở xã hội;</w:t>
            </w:r>
          </w:p>
        </w:tc>
        <w:tc>
          <w:p/>
          <w:p>
            <w:pPr>
              <w:spacing w:after="0" w:before="0" w:lineRule="auto" w:line="276"/>
              <w:jc w:val="left"/>
            </w:pPr>
            <w:r>
              <w:rPr>
                <w:rFonts w:ascii="Times New Roman" w:hAnsi="Times New Roman" w:cs="Times New Roman" w:eastAsia="Times New Roman"/>
                <w:b w:val="false"/>
                <w:sz w:val="26"/>
              </w:rPr>
              <w:t>10-10-2025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1: Người kê khai và vợ hoặc chồng của người kê khai không có tên trong Giấy chứng nhận quyền sử dụng đất, quyền sở hữu tài sản gắn liền với đất tại tỉnh, thành phố trực thuộc trung ương nơi có dự án nhà ở xã hội tại thời điểm nộp hồ sơ đăng ký mua, thuê mua nhà ở xã hội;
Trường hợp 2: Trường hợp người kê khai có nhà ở nhưng diện tích nhà ở bình quân đầu người thấp hơn 15m2 sàn/người;
Trường hợp 3: Không có;
Trường hợp 4: Không có;
Trường hợp 5: Không có;
Trường hợp 6: Không có;
Trường hợp 7: 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2026-05-01T11:52:01Z</dcterms:created>
  <dc:creator>Apache POI</dc:creator>
</cp:coreProperties>
</file>