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1.014451.H48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thực hiện nhiệm vụ đổi mới sáng tạo tài trợ, đặt hàng về đổi mới công nghệ; phát triển tài sản trí tuệ, nâng cao năng suất, chất lượng;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cơ quan quản lý nhiệm vụ đổi mới sáng tạo (Ủy ban nhân dân cấp tỉnh hoặc cơ quan được Ủy ban nhân dân cấp tỉnh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Thuyết minh nhiệm vụ tương ứng theo Mẫu số I.2, I.3, I.4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MauI.4A-ThuyetminhnhiemvunangcaonangsuatchatluongDN.docx</w:t>
            </w:r>
          </w:p>
          <w:p>
            <w:pPr>
              <w:spacing w:after="0" w:before="0" w:lineRule="auto" w:line="276"/>
              <w:jc w:val="left"/>
            </w:pPr>
            <w:r>
              <w:rPr>
                <w:rFonts w:ascii="Times New Roman" w:hAnsi="Times New Roman" w:cs="Times New Roman" w:eastAsia="Times New Roman"/>
                <w:b w:val="false"/>
                <w:sz w:val="26"/>
              </w:rPr>
              <w:t>MauI.2-ThuyetminhnhiemvuDMCN.docx</w:t>
            </w:r>
          </w:p>
          <w:p>
            <w:pPr>
              <w:spacing w:after="0" w:before="0" w:lineRule="auto" w:line="276"/>
              <w:jc w:val="left"/>
            </w:pPr>
            <w:r>
              <w:rPr>
                <w:rFonts w:ascii="Times New Roman" w:hAnsi="Times New Roman" w:cs="Times New Roman" w:eastAsia="Times New Roman"/>
                <w:b w:val="false"/>
                <w:sz w:val="26"/>
              </w:rPr>
              <w:t>MauI.3A-ThuyetminhnhiemvuphattrienquyenSHTTDNTC.docx</w:t>
            </w:r>
          </w:p>
          <w:p>
            <w:pPr>
              <w:spacing w:after="0" w:before="0" w:lineRule="auto" w:line="276"/>
              <w:jc w:val="left"/>
            </w:pPr>
            <w:r>
              <w:rPr>
                <w:rFonts w:ascii="Times New Roman" w:hAnsi="Times New Roman" w:cs="Times New Roman" w:eastAsia="Times New Roman"/>
                <w:b w:val="false"/>
                <w:sz w:val="26"/>
              </w:rPr>
              <w:t>MauI.3B-ThuyetminhnhiemvuphattrienquyenSHTTTTTHTQT.docx</w:t>
            </w:r>
          </w:p>
          <w:p>
            <w:pPr>
              <w:spacing w:after="0" w:before="0" w:lineRule="auto" w:line="276"/>
              <w:jc w:val="left"/>
            </w:pPr>
            <w:r>
              <w:rPr>
                <w:rFonts w:ascii="Times New Roman" w:hAnsi="Times New Roman" w:cs="Times New Roman" w:eastAsia="Times New Roman"/>
                <w:b w:val="false"/>
                <w:sz w:val="26"/>
              </w:rPr>
              <w:t>MauI.5-Thuyetminhnhiemvuhotrokhoinghiepsangtao.docx</w:t>
            </w:r>
          </w:p>
          <w:p>
            <w:pPr>
              <w:spacing w:after="0" w:before="0" w:lineRule="auto" w:line="276"/>
              <w:jc w:val="left"/>
            </w:pPr>
            <w:r>
              <w:rPr>
                <w:rFonts w:ascii="Times New Roman" w:hAnsi="Times New Roman" w:cs="Times New Roman" w:eastAsia="Times New Roman"/>
                <w:b w:val="false"/>
                <w:sz w:val="26"/>
              </w:rPr>
              <w:t>MauI.4B-Thuyetminhnhiemvunangcaonangsuatchatluongkhac.docx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 cách pháp lý của tổ chức đề xuất: Quyết định thành lập hoặc Điều lệ hoạt động được cơ quan có thẩm quyền phê duyệt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tổ chức đề xuất về việc chỉ tiếp nhận duy nhất một nguồn kinh phí cho cùng một nội dung chi từ ngân sách nhà nước cho cùng nội dung nhiệm vụ đổi mới sáng tạo.</w:t>
            </w:r>
          </w:p>
        </w:tc>
        <w:tc>
          <w:p/>
          <w:p>
            <w:pPr>
              <w:spacing w:after="0" w:before="0" w:lineRule="auto" w:line="276"/>
              <w:jc w:val="left"/>
            </w:pPr>
            <w:r>
              <w:rPr>
                <w:rFonts w:ascii="Times New Roman" w:hAnsi="Times New Roman" w:cs="Times New Roman" w:eastAsia="Times New Roman"/>
                <w:b w:val="false"/>
                <w:sz w:val="26"/>
              </w:rPr>
              <w:t>MauI.6-Vanbancamket.docx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dự án đầu tư đã được cấp có thẩm quyền phê duyệt ở giai đoạn quyết định đầu tư áp dụng đối với nhiệm vụ đổi mới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hồ sơ tài liệu khác theo yêu cầu của cơ quan quản lý nhiệm vụ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MauI.1-DondangkythuchiennhiemvuDMST.docx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số 54 đường Hùng Vương, phường Cẩm Thành; điểm tiếp nhận thứ 02 tại địa chỉ số 492 đường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theo Mẫu số I.13 Phụ lục I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tổ chức đáp ứng các điều kiện tại Điều 9 Nghị định số 268/2025/NĐ-CP, cụ thể:
1. Doanh nghiệp, tổ chức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
2. Doanh nghiệp, tổ chức không đủ điều kiện đăng ký tham gia xét tài trợ hoặc đặt hàng chủ trì thực hiện nhiệm vụ trong các trường hợp sau đây:
a)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
b)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
c) Doanh nghiệp, tổ chức chủ trì đang bị đình chỉ hoạt động, bị khởi tố.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2026-05-19T11:19:15Z</dcterms:created>
  <dc:creator>Apache POI</dc:creator>
</cp:coreProperties>
</file>