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cá nhân, nhóm cá nhân, doanh nghiệp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IV.2.3</w:t>
            </w:r>
          </w:p>
        </w:tc>
        <w:tc>
          <w:p/>
          <w:p>
            <w:pPr>
              <w:spacing w:after="0" w:before="0" w:lineRule="auto" w:line="276"/>
              <w:jc w:val="left"/>
            </w:pPr>
            <w:r>
              <w:rPr>
                <w:rFonts w:ascii="Times New Roman" w:hAnsi="Times New Roman" w:cs="Times New Roman" w:eastAsia="Times New Roman"/>
                <w:b w:val="false"/>
                <w:sz w:val="26"/>
              </w:rPr>
              <w:t>MausoIV.2.3.ThuyetminhCNNCNDNKNST.docx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minh chứng đáp ứng tiêu chí cá nhân, nhóm cá nhân, doanh nghiệp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doanh nghiệp khởi nghiệp sáng tạo, Giấy công nhận cá nhân, nhóm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công dân Việt Nam, có năng lực hành vi dân sự đầy đủ, thường trú tại Việt Nam; nếu là công dân nước ngoài thì phải có giấy xác nhận thông tin về cư trú hợp pháp tại Việt Nam; nếu là doanh nghiệp thì phải được thành lập theo Luật Doanh nghiệp.
2. Có dự án khởi nghiệp sáng tạo đã được đầu tư, hoặc cam kết đầu tư bởi quỹ đầu tư khởi nghiệp sáng tạo, quỹ đầu tư mạo hiểm, nhà đầu tư cá nhân khởi nghiệp sáng tạo; hoặc được hỗ trợ, cam kết hỗ trợ bởi trung tâm đổi mới sáng tạo, trung tâm hỗ trợ khởi nghiệp sáng tạo.
3. Khả năng tăng trưởng doanh thu của doanh nghiệp hoặc từ việc triển khai dự án khởi nghiệp sáng tạo đạt tối thiểu 20% trong 02 năm liên tiếp trên cơ sở phân tích các yếu tố thị phần, khả năng phát triển sản phẩm, dịch vụ của doanh nghiệp, triển khai dự án khởi nghiệp sáng tạo, khả năng cạnh tranh của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2026-05-23T20:23:41Z</dcterms:created>
  <dc:creator>Apache POI</dc:creator>
</cp:coreProperties>
</file>