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1.014436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3578/QĐ-BKHCN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nhà đầu tư cá nhân khởi nghiệp sáng tạo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 nhân có yêu cầu công nhận nộp 01 bộ hồ sơ theo quy định đến Ủy ban nhân dân cấp tỉnh.
- Trong thời hạn 05 ngày làm việc kể từ ngày nhận được hồ sơ, cơ quan có thẩm quyền công nhận có trách nhiệm trả lời tổ chức, cá nhân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Trường hợp cần giải trình, làm rõ theo kiến nghị của Hội đồng tư vấn công nhận, trong thời hạn 05 ngày làm việc kể từ ngày họp hội đồng, cơ quan có thẩm quyền công nhận yêu cầu giải trình, hoàn thiện hồ sơ trong thời hạn 15 ngày kể từ khi nhận được yêu cầu. Sau thời hạn này, nếu không có văn bản giải trình, bổ sung, cơ quan có thẩm quyền công nhận dừng xử lý hồ sơ.
+ Trường hợp đồng ý với yêu cầu của hồ sơ,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 Trường hợp không đồng ý với yêu cầu của hồ sơ, trong thời hạn 07 ngày làm việc kể từ ngày họp Hội đồng tư vấn công nhận hoặc kể từ ngày nhận được hồ sơ hoàn thiện sau khi giải trình, cơ quan có thẩm quyền công nhận thông báo kết quả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cơ quan có thẩm quyền công nhận trả lời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Trong thời hạn 05 ngày làm việc kể từ ngày họp hội đồng, cơ quan có thẩm quyền công nhận yêu cầu giải trình, hoàn thiện hồ sơ.
 +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hoặc không công nhận.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cơ quan có thẩm quyền công nhận trả lời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Trong thời hạn 05 ngày làm việc kể từ ngày họp hội đồng, cơ quan có thẩm quyền công nhận yêu cầu giải trình, hoàn thiện hồ sơ.
 +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hoặc không công nhận.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cơ quan có thẩm quyền công nhận trả lời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Trong thời hạn 05 ngày làm việc kể từ ngày họp hội đồng, cơ quan có thẩm quyền công nhận yêu cầu giải trình, hoàn thiện hồ sơ.
 +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hoặc không công nhận.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yêu cầu công nhận theo Mẫu số IV.1.1</w:t>
            </w:r>
          </w:p>
        </w:tc>
        <w:tc>
          <w:p/>
          <w:p>
            <w:pPr>
              <w:spacing w:after="0" w:before="0" w:lineRule="auto" w:line="276"/>
              <w:jc w:val="left"/>
            </w:pPr>
            <w:r>
              <w:rPr>
                <w:rFonts w:ascii="Times New Roman" w:hAnsi="Times New Roman" w:cs="Times New Roman" w:eastAsia="Times New Roman"/>
                <w:b w:val="false"/>
                <w:sz w:val="26"/>
              </w:rPr>
              <w:t>MausoIV.1.1Yeucaucongnhan.docx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theo Mẫu số IV.2.4</w:t>
            </w:r>
          </w:p>
        </w:tc>
        <w:tc>
          <w:p/>
          <w:p>
            <w:pPr>
              <w:spacing w:after="0" w:before="0" w:lineRule="auto" w:line="276"/>
              <w:jc w:val="left"/>
            </w:pPr>
            <w:r>
              <w:rPr>
                <w:rFonts w:ascii="Times New Roman" w:hAnsi="Times New Roman" w:cs="Times New Roman" w:eastAsia="Times New Roman"/>
                <w:b w:val="false"/>
                <w:sz w:val="26"/>
              </w:rPr>
              <w:t>MausoIV.2.4.ThuyetminhCGNDTKNST.docx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chứng minh đáp ứng tiêu chí nhà đầu tư cá nhân khởi nghiệp sáng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công nhận chuyên gia hỗ trợ khởi nghiệp sáng tạo, nhà đầu tư cá nhân khởi nghiệp sáng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Là công dân Việt Nam, có năng lực hành vi dân sự đầy đủ, thường trú tại Việt Nam; nếu là công dân nước ngoài thì phải có xác nhận cư trú hợp pháp tại Việt Nam.
2. Thu nhập cá nhân chịu thuế đạt ít nhất 01 tỷ đồng Việt Nam mỗi năm trong ít nhất 02 năm gần đây và có khả năng duy trì mức thu nhập này trong năm hiện tại.
3. Có ít nhất 05 năm kinh nghiệm trong lĩnh vực công nghệ, marketing, tài chính, kinh doanh hoặc đầu tư và đã trực tiếp đầu tư tối thiểu vào 05 cá nhân hoặc 02 nhóm cá nhân khởi nghiệp sáng tạo hoặc 02 doanh nghiệp khởi nghiệp sáng tạo trong 02 năm gần nhất.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Khởi nghiệp sáng tạo</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2026-05-23T20:23:42Z</dcterms:created>
  <dc:creator>Apache POI</dc:creator>
</cp:coreProperties>
</file>