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kinh phí huấn luyện an toàn, vệ sinh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sử dụng lao động nộp 01 bộ hồ sơ cho Sở Nội vụ
- Bước 2: Trong thời hạn 15 ngày làm việc, kể từ ngày nhận đủ hồ sơ hợp lệ theo quy định, Sở Nội vụ tiến hành thẩm định hồ sơ, quyết định việc hỗ trợ gửi quyết định (kèm theo dữ liệu danh sách hỗ trợ) cho cơ quan Bảo hiểm xã hội. Trường hợp không hỗ trợ thì phải trả lời bằng văn bản cho người sử dụng lao động hoặc người lao động nộp hồ sơ đề nghị và nêu rõ lý do.
	- Bước 3: Trong thời hạn 05 ngày làm việc, kể từ ngày nhận được quyết định hỗ trợ của Sở Nội vụ, cơ quan bảo hiểm xã hội có trách nhiệm chi trả kinh phí hỗ trợ khám bệnh nghề nghiệp cho người sử dụng lao động hoặc người lao động theo quyết định hỗ trợ. Trường hợp không chi trả thì phải trả lời bằng văn bản cho Nội vụ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đủ hồ sơ hợp lệ theo quy định, Sở Nội vụ tiến hành thẩm định hồ sơ, quyết định việc hỗ trợ.
- Trong thời hạn 05 ngày làm việc, kể từ khi nhận được quyết định hỗ trợ của Sở Nội vụ, cơ quan bảo hiểm xã hội có trách nhiệm chi trả kinh phí hỗ trợ huấn luyện an toàn, vệ sinh lao động cho người sử dụng lao động.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đủ hồ sơ hợp lệ theo quy định, Sở Nội vụ tiến hành thẩm định hồ sơ, quyết định việc hỗ trợ.
- Trong thời hạn 05 ngày làm việc, kể từ khi nhận được quyết định hỗ trợ của Sở Nội vụ, cơ quan bảo hiểm xã hội có trách nhiệm chi trả kinh phí hỗ trợ huấn luyện an toàn, vệ sinh lao động cho người sử dụng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hỗ trợ huấn luyện theo Mẫu số 11 tại Phụ lục của Nghị định số 88/2020/NĐ-CP ngày 28 tháng 7 năm 2020,</w:t>
            </w:r>
          </w:p>
        </w:tc>
        <w:tc>
          <w:p/>
          <w:p>
            <w:pPr>
              <w:spacing w:after="0" w:before="0" w:lineRule="auto" w:line="276"/>
              <w:jc w:val="left"/>
            </w:pPr>
            <w:r>
              <w:rPr>
                <w:rFonts w:ascii="Times New Roman" w:hAnsi="Times New Roman" w:cs="Times New Roman" w:eastAsia="Times New Roman"/>
                <w:b w:val="false"/>
                <w:sz w:val="26"/>
              </w:rPr>
              <w:t>2.Mus11tiPhlccaNghnhs882020.docx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hồ sơ, chứng từ chứng minh việc tổ chức huấn luyện theo quy định của pháp luật và các chi phí thực tế có liên quan đến việc huấn luyện an toàn, vệ sinh lao động cho các đối tượng đề nghị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việc hỗ trợ kinh phí huấn luyện an toàn, vệ sinh lao động và thực hiện hỗ trợ kinh phí huấn luyện an toàn, vệ sinh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AN TOÀN, VỆ SINH LAO ĐỘNG VỀ BẢO HIỂM TAI NẠN LAO ĐỘNG, BỆNH NGHỀ NGHIỆP BẮT BUỘC</w:t>
            </w:r>
          </w:p>
        </w:tc>
        <w:tc>
          <w:p/>
          <w:p>
            <w:pPr>
              <w:spacing w:after="0" w:before="0" w:lineRule="auto" w:line="276"/>
              <w:jc w:val="left"/>
            </w:pPr>
            <w:r>
              <w:rPr>
                <w:rFonts w:ascii="Times New Roman" w:hAnsi="Times New Roman" w:cs="Times New Roman" w:eastAsia="Times New Roman"/>
                <w:b w:val="false"/>
                <w:sz w:val="26"/>
              </w:rPr>
              <w:t>28-07-2020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sử dụng lao động được nhận kinh phí hỗ trợ huấn luyện an toàn, vệ sinh lao động khi có đủ các điều kiện sau:
	- Người sử dụng lao động có thời gian liên tục đóng bảo hiểm tai nạn lao động, bệnh nghề nghiệp cho người lao động thuộc đối tượng đề nghị hỗ trợ huấn luyện từ đủ 12 tháng trở lên cho đến tháng đề nghị hỗ trợ kinh phí huấn luyện an toàn, vệ sinh lao động.
	- Thuê tổ chức huấn luyện có đủ điều kiện theo quy định hoặc tự huấn luyện an toàn, vệ sinh lao động cho đối tượng đề nghị hỗ trợ huấn luyện lần đầu hoặc huấn luyện định kỳ theo đúng quy định pháp luật hiện hành.
	- Thực hiện báo cáo định kỳ công tác an toàn, vệ sinh lao động, báo cáo tình hình tai nạn lao động của năm trước liền kề năm đề nghị cho Sở Lao động - Thương binh và Xã hội (nay là Sở Nội vụ) theo đúng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2026-05-05T15:43:30Z</dcterms:created>
  <dc:creator>Apache POI</dc:creator>
</cp:coreProperties>
</file>