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đơn vị hợp thành chịu trách nhiệm kê khai và danh sách các đơn vị hợp thành thuộc đối tượng áp dụng Nghị quyết 107/2023/QH15 ngày 29 tháng 11 năm 2023 của Quốc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Tập đoàn đa quốc gia thuộc đối tượng áp dụng Nghị quyết số 107/2023/QH15 hoặc đơn vị hợp thành được Tập đoàn giao trách nhiệm gửi thông báo đơn vị hợp thành chịu trách nhiệm kê khai và danh sách các đơn vị hợp thành thuộc đối tượng áp dụng Nghị quyết số 107/2023/QH15 tới cơ quan thuế được giao nhiệm vụ quản lý thuế thu nhập doanh nghiệp bổ sung theo Quy định về thuế tối thiểu toàn cầu trong thời hạn 30 ngày kể từ ngày kết thúc năm tài chính báo cáo.
+ Trường hợp tập đoàn đa quốc gia có thay đổi đơn vị hợp thành chịu trách nhiệm kê khai hoặc danh sách các đơn vị hợp thành thuộc đối tượng áp dụng Nghị quyết số 107/2023/QH15 thì đơn vị hợp thành chịu trách nhiệm kê khai phải gửi lại thông báo tới cơ quan thuế được giao nhiệm vụ quản lý thuế thu nhập doanh nghiệp bổ sung theo Quy định về thuế tối thiểu toàn cầu chậm nhất là ngày hết hạn nộp Tờ khai thông tin, Tờ khai thuế thu nhập doanh nghiệp bổ sung theo Quy định về thuế tối thiểu toàn cầu của năm tài chính báo cáo phát sinh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trụ sở cơ quan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điện tử qua cổng giao dịch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đường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đơn vị hợp thành chịu trách nhiệm kê khai và danh sách các đơn vị hợp thành thuộc đối tượng áp dụng Nghị quyết 107/2023/QH15 ngày 29 tháng 11 năm 2023 của Quốc hội theo mẫu số 01/TB-ĐVHT ban hành kèm theo Nghị định số 236/2025/NĐ-CP.</w:t>
            </w:r>
          </w:p>
        </w:tc>
        <w:tc>
          <w:p/>
          <w:p>
            <w:pPr>
              <w:spacing w:after="0" w:before="0" w:lineRule="auto" w:line="276"/>
              <w:jc w:val="left"/>
            </w:pPr>
            <w:r>
              <w:rPr>
                <w:rFonts w:ascii="Times New Roman" w:hAnsi="Times New Roman" w:cs="Times New Roman" w:eastAsia="Times New Roman"/>
                <w:b w:val="false"/>
                <w:sz w:val="26"/>
              </w:rPr>
              <w:t>Mus01TB-VHT.docx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doanh nghiệp lớn - Cục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107/2023/QH15</w:t>
            </w:r>
          </w:p>
        </w:tc>
        <w:tc>
          <w:p/>
          <w:p>
            <w:pPr>
              <w:spacing w:after="0" w:before="0" w:lineRule="auto" w:line="276"/>
              <w:jc w:val="left"/>
            </w:pPr>
            <w:r>
              <w:rPr>
                <w:rFonts w:ascii="Times New Roman" w:hAnsi="Times New Roman" w:cs="Times New Roman" w:eastAsia="Times New Roman"/>
                <w:b w:val="false"/>
                <w:sz w:val="26"/>
              </w:rPr>
              <w:t>Nghị quyết  Về việc áp dụng thuế thu nhập doanh nghiệp bổ sung theo quy định chống xói mòn cơ sở thuế toàn cầu</w:t>
            </w:r>
          </w:p>
        </w:tc>
        <w:tc>
          <w:p/>
          <w:p>
            <w:pPr>
              <w:spacing w:after="0" w:before="0" w:lineRule="auto" w:line="276"/>
              <w:jc w:val="left"/>
            </w:pPr>
            <w:r>
              <w:rPr>
                <w:rFonts w:ascii="Times New Roman" w:hAnsi="Times New Roman" w:cs="Times New Roman" w:eastAsia="Times New Roman"/>
                <w:b w:val="false"/>
                <w:sz w:val="26"/>
              </w:rPr>
              <w:t>29-11-2023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236/2025/NĐ-CP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Nghị quyết số 107/2023/QH15 ngày 29 tháng 11 năm 2023 của Quốc hội về việc áp dụng thuế thu nhập doanh nghiệp bổ sung theo quy định chống xói mòn cơ sở thuế toàn cầu</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cơ sở hạ tầng công nghệ thông tin để gửi dữ liệu tới cơ quan thuế bằng phương thức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2026-05-14T21:38:38Z</dcterms:created>
  <dc:creator>Apache POI</dc:creator>
</cp:coreProperties>
</file>