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doanh nghiệp bổ sung theo quy định về thuế thu nhập doanh nghiệp bổ sung tối thiểu nội địa đạt chuẩn (QDMTT)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hợp thành chịu trách nhiệm kê khai thực hiện nộp hồ sơ khai thuế theo quy định về thu nhập doanh nghiệp bổ sung tối thiểu nội địa đạt chuẩn (QDMTT) chậm nhất là 12 tháng sau ngày kết thúc năm tài chính. 
Thời hạn nộp Tờ khai thông tin theo quy định về thuế tối thiểu toàn cầu của tập đoàn đa quốc gia và Thông báo đơn vị hợp thành đã nộp Tờ khai thông tin theo Quy định về thuế tối thiểu toàn cầu tại nước có Hiệp định giữa nhà chức trách có thẩm quyền về trao đổi thông tin theo quy định thuế tối thiểu toàn cầu có hiệu lực với Việt Nam chậm nhất là 18 tháng sau ngày kết thúc năm tài chính đối với năm đầu tiên mà bất kỳ đơn vị hợp thành nào của Tập đoàn đa quốc gia thuộc đối tượng áp dụng của Nghị quyết số 107/2023/QH15; 15 tháng sau ngày kết thúc năm tài chính đối với các năm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điện tử qua cổng giao dịch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thông tin theo Quy định về thuế tối thiểu toàn cầu (Mẫu số 01/TKTT-QDMTT) ban hành kèm theo Nghị định số 236/2025/NĐ-CP</w:t>
            </w:r>
          </w:p>
        </w:tc>
        <w:tc>
          <w:p/>
          <w:p>
            <w:pPr>
              <w:spacing w:after="0" w:before="0" w:lineRule="auto" w:line="276"/>
              <w:jc w:val="left"/>
            </w:pPr>
            <w:r>
              <w:rPr>
                <w:rFonts w:ascii="Times New Roman" w:hAnsi="Times New Roman" w:cs="Times New Roman" w:eastAsia="Times New Roman"/>
                <w:b w:val="false"/>
                <w:sz w:val="26"/>
              </w:rPr>
              <w:t>Mus01TKTT-QDMTT.xlsx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thuế thu nhập doanh nghiệp bổ sung (Mẫu số 01/TNDN-QDMTT) ban hành kèm theo Nghị định số 236/2025/NĐ-CP</w:t>
            </w:r>
          </w:p>
        </w:tc>
        <w:tc>
          <w:p/>
          <w:p>
            <w:pPr>
              <w:spacing w:after="0" w:before="0" w:lineRule="auto" w:line="276"/>
              <w:jc w:val="left"/>
            </w:pPr>
            <w:r>
              <w:rPr>
                <w:rFonts w:ascii="Times New Roman" w:hAnsi="Times New Roman" w:cs="Times New Roman" w:eastAsia="Times New Roman"/>
                <w:b w:val="false"/>
                <w:sz w:val="26"/>
              </w:rPr>
              <w:t>Mus01TNDN-QDMTT.docx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giải trình chênh lệch do khác biệt giữa các chuẩn mực kế toán tài chính (Mẫu số 01/TM) ban hành kèm theo Nghị định số 236/2025/NĐ-CP</w:t>
            </w:r>
          </w:p>
        </w:tc>
        <w:tc>
          <w:p/>
          <w:p>
            <w:pPr>
              <w:spacing w:after="0" w:before="0" w:lineRule="auto" w:line="276"/>
              <w:jc w:val="left"/>
            </w:pPr>
            <w:r>
              <w:rPr>
                <w:rFonts w:ascii="Times New Roman" w:hAnsi="Times New Roman" w:cs="Times New Roman" w:eastAsia="Times New Roman"/>
                <w:b w:val="false"/>
                <w:sz w:val="26"/>
              </w:rPr>
              <w:t>Mus01TM.docx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đơn vị hợp thành đã nộp Tờ khai thông tin theo Quy định về thuế tối thiểu toàn cầu tại nước có Hiệp định giữa nhà chức trách có thẩm quyền về trao đổi thông tin theo quy định thuế tối thiểu toàn cầu có hiệu lực với Việt Nam (Mẫu số 03/TB-ĐVHT) ban hành kèm theo Nghị định số 236/2025/NĐ-CP (nếu có)</w:t>
            </w:r>
          </w:p>
        </w:tc>
        <w:tc>
          <w:p/>
          <w:p>
            <w:pPr>
              <w:spacing w:after="0" w:before="0" w:lineRule="auto" w:line="276"/>
              <w:jc w:val="left"/>
            </w:pPr>
            <w:r>
              <w:rPr>
                <w:rFonts w:ascii="Times New Roman" w:hAnsi="Times New Roman" w:cs="Times New Roman" w:eastAsia="Times New Roman"/>
                <w:b w:val="false"/>
                <w:sz w:val="26"/>
              </w:rPr>
              <w:t>Mus03TB-VHT.docx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thông tin theo Quy định về thuế tối thiểu toàn cầu của tập đoàn đa quốc gia đối với phần thông tin chung của tập đoàn đa quốc gia, thông tin về cấu trúc Tập đoàn và thông tin liên quan đến việc tính toán thuế suất thực tế, thuế bổ sung của các đơn vị hợp thành tại Việt Nam, trừ trường hợp tập đoàn đa quốc gia không phải nộp Tờ khai thông tin theo Quy định về thuế tối thiểu toàn cầu ở bất kỳ quốc gia nào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số liệu tài chính từng đơn vị hợp thành sử dụng cho mục đích lập Báo cáo tài chính hợp nhất của công ty mẹ tối cao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107/2023/QH15</w:t>
            </w:r>
          </w:p>
        </w:tc>
        <w:tc>
          <w:p/>
          <w:p>
            <w:pPr>
              <w:spacing w:after="0" w:before="0" w:lineRule="auto" w:line="276"/>
              <w:jc w:val="left"/>
            </w:pPr>
            <w:r>
              <w:rPr>
                <w:rFonts w:ascii="Times New Roman" w:hAnsi="Times New Roman" w:cs="Times New Roman" w:eastAsia="Times New Roman"/>
                <w:b w:val="false"/>
                <w:sz w:val="26"/>
              </w:rPr>
              <w:t>Nghị quyết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29-11-2023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236/2025/NĐ-CP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Nghị quyết số 107/2023/QH15 ngày 29 tháng 11 năm 2023 của Quốc hội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cơ sở hạ tầng công nghệ thông tin để gửi dữ liệu tới cơ quan thuế bằng phương thức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2026-05-14T21:42:47Z</dcterms:created>
  <dc:creator>Apache POI</dc:creator>
</cp:coreProperties>
</file>