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1.014295.H18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toán tiền cấp quyền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đề nghị quyết toán tiền cấp quyền khai thác khoáng sản:
Tổ chức, cá nhân đề nghị quyết toán tiền cấp quyền khai thác khoáng sản nộp hồ sơ đến Trung tâm Phục vụ hành chính công tỉnh Điện Biên (cơ quan quyết toán tiền cấp quyền khai thác khoáng sản) thông qua một trong các hình thức gửi trực tiếp, qua đường bưu điện hoặc bản điện tử thông qua hệ thống dịch vụ công trực tuyến trước ngày 31 tháng 01 của năm quyết toán đối với trường hợp quyết toán theo định kỳ 5 năm một lần; trong vòng 30 ngày, kể từ thời điểm được gia hạn, điều chỉnh, cấp lại, chuyển nhượng giấy phép khai thác khoáng sản, giấy phép khai thác tận thu khoáng sản, quyết định đóng cửa mỏ đối với trường hợp quyết toán khi gia hạn, điều chỉnh, cấp lại, chuyển nhượng giấy phép khai thác khoáng sản; quyết toán khi đóng cửa mỏ, giấy xác nhận đăng ký thu hồi khoáng sản, văn bản chấp thuận, cho phép khai thác, thu hồi khoáng sản hết hiệu lực; trước ngày 30/9/2025 đối với trường hợp quyết toán tiền cấp quyền khai thác khoáng sản, tiền trúng đấu giá quyền khai thác khoáng sản lần đầu theo quy định của Luật Địa chất và khoáng sản và được xác định theo trữ lượng, khối lượng khoáng sản đã khai thác, thu hồi tính đến ngày 30/6/2025.
- Bước 2. Kiểm tra hồ sơ:
Sở Nông nghiệp và Môi trường xem xét, kiểm tra tính đầy đủ của hồ sơ.
+ Trường hợp hồ sơ hợp lệ, Sở Nông nghiệp và Môi trường tiếp nhận hồ sơ theo quy định. Trường hợp hồ sơ chưa đầy đủ thành phần thì không tiếp nhận hồ sơ và nêu rõ lý do không tiếp nhận trong phiếu yêu cầu bổ sung, hoàn thiện hồ sơ theo quy định của Chính phủ về việc tiếp nhận hồ sơ thủ tục hành chính.
+ Trường hợp phải bổ sung, hoàn thiện hồ sơ đề nghị quyết toán tiền cấp quyền khai thác khoáng sản, Sở Nông nghiệp và Môi trường có văn bản yêu cầu tổ chức, cá nhân bổ sung, hoàn thiện, trong đó nêu rõ nội dung cần bổ sung, hoàn thiện. Việc yêu cầu bổ sung, hoàn thiện hồ sơ chỉ thực hiện một lần. Trường hợp hồ sơ sau hoàn thiện không đáp ứng theo yêu cầu bổ sung, hoàn thiện lần đầu thì có thể đề nghị bổ sung, hoàn thiện lại, nhưng không phát sinh nội dung yêu cầu mới. Thời gian tổ chức, cá nhân bổ sung, hoàn thiện hồ sơ không tính vào thời gian quyết toán tiền cấp quyền khai thác khoáng sản theo quy định.
+ Trường hợp sau khi bổ sung, hoàn thiện lại mà hồ sơ đề nghị quyết toán tiền cấp quyền khai thác khoáng sản vẫn không đáp ứng yêu cầu theo quy định, Sở Nông nghiệp và Môi trường dừng quyết toán và trả lại hồ sơ đề nghị quyết toán tiền cấp quyền khai thác khoáng sản. Tổ chức, cá nhân thuộc trường hợp này được quyền nộp lại hồ sơ nhưng sẽ được tính là hồ sơ nộp mới.
- Bước 3. Quyết toán tiền cấp quyền khai thác khoáng sản:
+ Trong vòng 90 ngày kể từ ngày nhận đủ hồ sơ đề nghị quyết toán tiền cấp quyền khai thác khoáng sản hợp lệ, Sở Nông nghiệp và Môi trường có trách nhiệm quyết toán tiền cấp quyền khai thác khoáng sản đối với các trường hợp: 
(1) Quyết toán theo định kỳ 5 năm một lần; 
(2) Quyết toán khi gia hạn, điều chỉnh, cấp lại, chuyển nhượng giấy phép khai thác khoáng sản; 
(3) Quyết toán khi đóng cửa mỏ, giấy xác nhận đăng ký thu hồi khoáng sản, văn bản chấp thuận, cho phép khai thác, thu hồi khoáng sản hết hiệu lực; 
+ Trước ngày 31/12/2026 đối với trường hợp quyết toán tiền cấp quyền khai thác khoáng sản, tiền trúng đấu giá quyền khai thác khoáng sản lần đầu đối với trường hợp tại thời điểm Luật Địa chất và khoáng sản có hiệu lực thi hành, các giấy phép khai thác khoáng sản, văn bản cho phép khai thác, thu hồi khoáng sản còn thời hạn khai thác, thu hồi hoặc đã hết thời hạn khai thác, thu hồi nhưng đủ điều kiện gia hạn, cấp lại giấy phép khai thác khoáng sản, văn bản cho phép khai thác, thu hồi khoáng sản tính đến ngày 30/6/2025.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đến Sở Nông nghiệp và Môi trường tỉnh, thành phố trực thuộc trung ương.
- Thời hạn giải quyết:
+ Trong vòng 90 ngày kể từ ngày nhận đủ hồ sơ đề nghị quyết toán tiền cấp quyền khai thác khoáng sản hợp lệ đối với trường hợp: (1) Quyết toán theo định kỳ 5 năm một lần; (2) Quyết toán khi gia hạn, điều chỉnh, cấp lại, chuyển nhượng giấy phép khai thác khoáng sản; (3) Quyết toán khi đóng cửa mỏ, giấy xác nhận đăng ký thu hồi khoáng sản, văn bản chấp thuận, cho phép khai thác, thu hồi khoáng sản hết hiệu lực.
+  Trước ngày 31/12/2026 đối với trường hợp quyết toán tiền cấp quyền khai thác khoáng sản, tiền trúng đấu giá quyền khai thác khoáng sản lần đầu theo quy định của Luật Địa chất và khoáng sản và được xác định theo trữ lượng, khối lượng khoáng sản đã khai thác, thu hồi tính đến ngày 30/6/2025.</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thông qua Cổng Dịch vụ công quốc gia (địa chỉ http://dichvucong.gov.vn).
- Thời hạn giải quyết:
+ Trong vòng 90 ngày kể từ ngày nhận đủ hồ sơ đề nghị quyết toán tiền cấp quyền khai thác khoáng sản hợp lệ đối với trường hợp: (1) Quyết toán theo định kỳ 5 năm một lần; (2) Quyết toán khi gia hạn, điều chỉnh, cấp lại, chuyển nhượng giấy phép khai thác khoáng sản; (3) Quyết toán khi đóng cửa mỏ, giấy xác nhận đăng ký thu hồi khoáng sản, văn bản chấp thuận, cho phép khai thác, thu hồi khoáng sản hết hiệu lực.
+  Trước ngày 31/12/2026 đối với trường hợp quyết toán tiền cấp quyền khai thác khoáng sản, tiền trúng đấu giá quyền khai thác khoáng sản lần đầu theo quy định của Luật Địa chất và khoáng sản và được xác định theo trữ lượng, khối lượng khoáng sản đã khai thác, thu hồi tính đến ngày 30/6/2025.</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đến Sở Nông nghiệp và Môi trường tỉnh, thành phố trực thuộc trung ương.
- Thời hạn giải quyết:
+ Trong vòng 90 ngày kể từ ngày nhận đủ hồ sơ đề nghị quyết toán tiền cấp quyền khai thác khoáng sản hợp lệ đối với trường hợp: (1) Quyết toán theo định kỳ 5 năm một lần; (2) Quyết toán khi gia hạn, điều chỉnh, cấp lại, chuyển nhượng giấy phép khai thác khoáng sản; (3) Quyết toán khi đóng cửa mỏ, giấy xác nhận đăng ký thu hồi khoáng sản, văn bản chấp thuận, cho phép khai thác, thu hồi khoáng sản hết hiệu lực.
+  Trước ngày 31/12/2026 đối với trường hợp quyết toán tiền cấp quyền khai thác khoáng sản, tiền trúng đấu giá quyền khai thác khoáng sản lần đầu theo quy định của Luật Địa chất và khoáng sản và được xác định theo trữ lượng, khối lượng khoáng sản đã khai thác, thu hồi tính đến ngày 30/6/2025.</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thống kê, kiểm kê trữ lượng, khối lượng khoáng sản đã khai thác, trữ lượng, khối lượng khoáng sản được phép khai thác còn lại hàng năm trong kỳ quyết toán</w:t>
            </w:r>
          </w:p>
        </w:tc>
        <w:tc>
          <w:p/>
          <w:p>
            <w:pPr>
              <w:spacing w:after="0" w:before="0" w:lineRule="auto" w:line="276"/>
              <w:jc w:val="left"/>
            </w:pPr>
            <w:r>
              <w:rPr>
                <w:rFonts w:ascii="Times New Roman" w:hAnsi="Times New Roman" w:cs="Times New Roman" w:eastAsia="Times New Roman"/>
                <w:b w:val="false"/>
                <w:sz w:val="26"/>
              </w:rPr>
              <w:t>Mauso05_BCdinhkyketquaKTKS.doc</w:t>
            </w:r>
          </w:p>
          <w:p>
            <w:pPr>
              <w:spacing w:after="0" w:before="0" w:lineRule="auto" w:line="276"/>
              <w:jc w:val="left"/>
            </w:pPr>
            <w:r>
              <w:rPr>
                <w:rFonts w:ascii="Times New Roman" w:hAnsi="Times New Roman" w:cs="Times New Roman" w:eastAsia="Times New Roman"/>
                <w:b w:val="false"/>
                <w:sz w:val="26"/>
              </w:rPr>
              <w:t>Mauso08_BCdinhkyketquathuhoiKSnam.doc</w:t>
            </w:r>
          </w:p>
          <w:p>
            <w:pPr>
              <w:spacing w:after="0" w:before="0" w:lineRule="auto" w:line="276"/>
              <w:jc w:val="left"/>
            </w:pPr>
            <w:r>
              <w:rPr>
                <w:rFonts w:ascii="Times New Roman" w:hAnsi="Times New Roman" w:cs="Times New Roman" w:eastAsia="Times New Roman"/>
                <w:b w:val="false"/>
                <w:sz w:val="26"/>
              </w:rPr>
              <w:t>Mauso07_BCdinhkyketquaKTtanthuKSnam.doc</w:t>
            </w:r>
          </w:p>
          <w:p>
            <w:pPr>
              <w:spacing w:after="0" w:before="0" w:lineRule="auto" w:line="276"/>
              <w:jc w:val="left"/>
            </w:pPr>
            <w:r>
              <w:rPr>
                <w:rFonts w:ascii="Times New Roman" w:hAnsi="Times New Roman" w:cs="Times New Roman" w:eastAsia="Times New Roman"/>
                <w:b w:val="false"/>
                <w:sz w:val="26"/>
              </w:rPr>
              <w:t>Mauso06_BCdinhkyketquaKTKSnam.doc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quyết toán tiền cấp quyền khai thác khoáng sản</w:t>
            </w:r>
          </w:p>
        </w:tc>
        <w:tc>
          <w:p/>
          <w:p>
            <w:pPr>
              <w:spacing w:after="0" w:before="0" w:lineRule="auto" w:line="276"/>
              <w:jc w:val="left"/>
            </w:pPr>
            <w:r>
              <w:rPr>
                <w:rFonts w:ascii="Times New Roman" w:hAnsi="Times New Roman" w:cs="Times New Roman" w:eastAsia="Times New Roman"/>
                <w:b w:val="false"/>
                <w:sz w:val="26"/>
              </w:rPr>
              <w:t>Mau06-PhulucII_38.2025.TT-BNNMT_02.7.2025.docx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thông tin quyết toán tiền cấp quyền khai thác khoáng sản</w:t>
            </w:r>
          </w:p>
        </w:tc>
        <w:tc>
          <w:p/>
          <w:p>
            <w:pPr>
              <w:spacing w:after="0" w:before="0" w:lineRule="auto" w:line="276"/>
              <w:jc w:val="left"/>
            </w:pPr>
            <w:r>
              <w:rPr>
                <w:rFonts w:ascii="Times New Roman" w:hAnsi="Times New Roman" w:cs="Times New Roman" w:eastAsia="Times New Roman"/>
                <w:b w:val="false"/>
                <w:sz w:val="26"/>
              </w:rPr>
              <w:t>Mau07-PhulucII_38.2025.TT-BNNMT_02.7.2025.docx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quyết toán tiền cấp quyền khai thác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38/2025/TT-BNNMT</w:t>
            </w:r>
          </w:p>
        </w:tc>
        <w:tc>
          <w:p/>
          <w:p>
            <w:pPr>
              <w:spacing w:after="0" w:before="0" w:lineRule="auto" w:line="276"/>
              <w:jc w:val="left"/>
            </w:pPr>
            <w:r>
              <w:rPr>
                <w:rFonts w:ascii="Times New Roman" w:hAnsi="Times New Roman" w:cs="Times New Roman" w:eastAsia="Times New Roman"/>
                <w:b w:val="false"/>
                <w:sz w:val="26"/>
              </w:rPr>
              <w:t>38/2025/TT-BNNMT</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21/2026/NĐ-CP</w:t>
            </w:r>
          </w:p>
        </w:tc>
        <w:tc>
          <w:p/>
          <w:p>
            <w:pPr>
              <w:spacing w:after="0" w:before="0" w:lineRule="auto" w:line="276"/>
              <w:jc w:val="left"/>
            </w:pPr>
            <w:r>
              <w:rPr>
                <w:rFonts w:ascii="Times New Roman" w:hAnsi="Times New Roman" w:cs="Times New Roman" w:eastAsia="Times New Roman"/>
                <w:b w:val="false"/>
                <w:sz w:val="26"/>
              </w:rPr>
              <w:t>Nghị định số 21/2026/NĐ-CP ngày 16/01/2026 của Chính phủ</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2026-05-21T16:32:52Z</dcterms:created>
  <dc:creator>Apache POI</dc:creator>
</cp:coreProperties>
</file>