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1.014270.H18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926/QĐ-UBND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Chuyển nhượng quyền khai thác khoáng sản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Địa chất và khoáng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Nộp, tiếp nhận và kiểm tra hồ sơ:
+ Tổ chức, cá nhân đề nghị chấp thuận chuyển nhượng quyền khai thác khoáng sản lựa chọn nộp hồ sơ thông qua một trong các hình thức trực tiếp, qua đường bưu điện về Trung tâm Phục vụ hành chính công tỉnh Điện Biên, Trung tâm phục vụ hành chính công cấp xã hoặc thông qua hệ thống dịch vụ công trực tuyến.
+ Trong thời hạn 03 ngày làm việc kể từ khi nhận hồ sơ, cơ quan tiếp nhận hồ sơ có trách nhiệm xem xét, kiểm tra tính đầy đủ, hợp lệ của hồ sơ.
+ Trường hợp hồ sơ đáp ứng quy định: cơ quan tiếp nhận hồ sơ lập phiếu tiếp nhận hồ sơ và chuyển hồ sơ cho Sở Nông nghiệp và Môi trường để tổ chức thẩm định hồ sơ.
+ Trường hợp hồ sơ không đáp ứng theo quy định: cơ quan tiếp nhận hồ sơ trả lại hồ sơ và thông báo rõ lý do, đồng thời hướng dẫn cụ thể cho tổ chức, cá nhân hoàn thiện hồ sơ.
- Bước 2. Thẩm định hồ sơ và trình phê duyệt:
* Trong thời hạn không quá 30 ngày làm việc, Sở Nông nghiệp và Môi trường hồ sơ thực hiện các công việc sau:
+ Kiểm tra nội dung hồ sơ; 
+ Gửi văn bản lấy ý kiến các cơ quan có liên quan về khu vực đề nghị chuyển nhượng quyền khai thác khoáng sản. Trong thời hạn không quá 20 ngày kể từ ngày nhận được văn bản xin ý kiến của Sở Nông nghiệp và Môi trường, cơ quan được lấy ý kiến có trách nhiệm trả lời bằng văn bản về các vấn đề có liên quan. Sau thời hạn đề nghị cho ý kiến, nếu cơ quan được lấy ý kiến không có văn bản trả lời được xem như đã đồng ý;
+ Kiểm tra tọa độ, diện tích khu vực đề nghị chuyển nhượng quyền khai thác khoáng sản; thẩm định các tài liệu, hồ sơ, tổng hợp ý kiến của các cơ quan liên quan đến việc chuyển nhượng quyền khai thác khoáng sản;
+ Tiến hành kiểm tra thực địa;
+ Tổng hợp hồ sơ, trình cơ quan quản lý nhà nước có thẩm quyền cấp phép để xem xét, quyết định việc chuyển nhượng quyền khai thác khoáng sản.
* Trong quá trình thẩm định hồ sơ, trường hợp hồ sơ không đủ điều kiện theo quy định hoặc cần chỉnh sửa, bổ sung, việc thẩm định hồ sơ được thực hiện như sau:
+ Trường hợp hồ sơ không đủ điều kiện, Sở Nông nghiệp và Môi trường thực hiện thủ tục trả lại hồ sơ và thông báo rõ lý do bằng văn bản.
+ Trường hợp hồ sơ cần chỉnh sửa, bổ sung, Sở Nông nghiệp và Môi trường thông báo bằng văn bản yêu cầu tổ chức, cá nhân giải trình, chỉnh sửa hoặc bổ sung hoàn thiện hồ sơ. Trường hợp hồ sơ hợp lệ, tiếp tục tiến hành thẩm định hồ sơ, thời gian thẩm định còn lại sau khi nhận được hồ sơ hoàn thiện của tổ chức, cá nhân được tăng thêm 25 ngày.
- Bước 3. Ra quyết định và trả kết quả giải quyết:
Trong thời gian không quá 05 ngày làm việc, kể từ ngày nhận được hồ sơ của Sở Nông nghiệp và Môi trường, Ủy ban nhân dân cấp tỉnh quyết định việc chấp thuận hoặc không chấp thuận chuyển nhượng quyền khai thác khoáng sản. Trong trường hợp không chấp thuận chuyển nhượng quyền khai thác khoáng sản thì phải trả lời bằng văn bản và nêu rõ lý do.
Trong thời hạn không quá 02 ngày làm việc, kể từ ngày nhận được kết quả giải quyết hồ sơ của Ủy ban nhân dân cấp tỉnh, cơ quan tiếp nhận hồ sơ thông báo cho tổ chức, cá nhân đề nghị chuyển nhượng quyền khai thác khoáng sản để nhận kết quả và thực hiện các nghĩa vụ có liên quan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34 Ngày làm việc</w:t>
            </w:r>
          </w:p>
        </w:tc>
        <w:tc>
          <w:p/>
          <w:p>
            <w:pPr>
              <w:spacing w:after="0" w:before="0" w:lineRule="auto" w:line="276"/>
              <w:jc w:val="left"/>
            </w:pPr>
            <w:r>
              <w:rPr>
                <w:rFonts w:ascii="Times New Roman" w:hAnsi="Times New Roman" w:cs="Times New Roman" w:eastAsia="Times New Roman"/>
                <w:b w:val="false"/>
                <w:sz w:val="26"/>
              </w:rPr>
              <w:t>Phí : 500.000 - 50.000.000 Đồng</w:t>
              <w:t xml:space="preserve"> (theo quy định tại Thông tư số 10/2024/TT-BTC ngày ngày 05/02/2024 của Bộ trưởng Bộ Tài chính quy định mức thu, chế độ thu, nộp, quản lý và sử dụng phí thẩm định đánh giá trữ lượng khoáng sản và lệ phí cấp giấy phép hoạt động khoáng sản)</w:t>
            </w:r>
          </w:p>
        </w:tc>
        <w:tc>
          <w:p/>
          <w:p>
            <w:pPr>
              <w:spacing w:after="0" w:before="0" w:lineRule="auto" w:line="276"/>
              <w:jc w:val="left"/>
            </w:pPr>
            <w:r>
              <w:rPr>
                <w:rFonts w:ascii="Times New Roman" w:hAnsi="Times New Roman" w:cs="Times New Roman" w:eastAsia="Times New Roman"/>
                <w:b w:val="false"/>
                <w:sz w:val="26"/>
              </w:rPr>
              <w:t>- Cách thực hiện: Nộp hồ sơ về cơ quan tiếp nhận hồ sơ giải quyết thủ tục hành chính do Chủ tịch Ủy ban nhân dân cấp tỉnh phân công.
- Thời hạn giải quyết: 34 ngày làm việc (trường hợp phải bổ sung, chỉnh sửa hồ sơ, thời gian giải quyết có thể kéo dài thêm tối đa 21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34 Ngày làm việc</w:t>
            </w:r>
          </w:p>
        </w:tc>
        <w:tc>
          <w:p/>
          <w:p>
            <w:pPr>
              <w:spacing w:after="0" w:before="0" w:lineRule="auto" w:line="276"/>
              <w:jc w:val="left"/>
            </w:pPr>
            <w:r>
              <w:rPr>
                <w:rFonts w:ascii="Times New Roman" w:hAnsi="Times New Roman" w:cs="Times New Roman" w:eastAsia="Times New Roman"/>
                <w:b w:val="false"/>
                <w:sz w:val="26"/>
              </w:rPr>
              <w:t>Phí : 500.000 - 50.000.000 Đồng</w:t>
              <w:t xml:space="preserve"> (theo quy định tại Thông tư số 10/2024/TT-BTC ngày ngày 05/02/2024 của Bộ trưởng Bộ Tài chính quy định mức thu, chế độ thu, nộp, quản lý và sử dụng phí thẩm định đánh giá trữ lượng khoáng sản và lệ phí cấp giấy phép hoạt động khoáng sản)</w:t>
            </w:r>
          </w:p>
        </w:tc>
        <w:tc>
          <w:p/>
          <w:p>
            <w:pPr>
              <w:spacing w:after="0" w:before="0" w:lineRule="auto" w:line="276"/>
              <w:jc w:val="left"/>
            </w:pPr>
            <w:r>
              <w:rPr>
                <w:rFonts w:ascii="Times New Roman" w:hAnsi="Times New Roman" w:cs="Times New Roman" w:eastAsia="Times New Roman"/>
                <w:b w:val="false"/>
                <w:sz w:val="26"/>
              </w:rPr>
              <w:t>- Cách thực hiện: Nộp hồ sơ về cơ quan tiếp nhận hồ sơ giải quyết thủ tục hành chính do Chủ tịch Ủy ban nhân dân cấp tỉnh phân công.
- Thời hạn giải quyết: 34 ngày làm việc (trường hợp phải bổ sung, chỉnh sửa hồ sơ, thời gian giải quyết có thể kéo dài thêm tối đa 21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34 Ngày làm việc</w:t>
            </w:r>
          </w:p>
        </w:tc>
        <w:tc>
          <w:p/>
          <w:p>
            <w:pPr>
              <w:spacing w:after="0" w:before="0" w:lineRule="auto" w:line="276"/>
              <w:jc w:val="left"/>
            </w:pPr>
            <w:r>
              <w:rPr>
                <w:rFonts w:ascii="Times New Roman" w:hAnsi="Times New Roman" w:cs="Times New Roman" w:eastAsia="Times New Roman"/>
                <w:b w:val="false"/>
                <w:sz w:val="26"/>
              </w:rPr>
              <w:t>Phí : 500.000 - 50.000.000 Đồng</w:t>
              <w:t xml:space="preserve"> (theo quy định tại Thông tư số 10/2024/TT-BTC ngày ngày 05/02/2024 của Bộ trưởng Bộ Tài chính quy định mức thu, chế độ thu, nộp, quản lý và sử dụng phí thẩm định đánh giá trữ lượng khoáng sản và lệ phí cấp giấy phép hoạt động khoáng sản)</w:t>
            </w:r>
          </w:p>
        </w:tc>
        <w:tc>
          <w:p/>
          <w:p>
            <w:pPr>
              <w:spacing w:after="0" w:before="0" w:lineRule="auto" w:line="276"/>
              <w:jc w:val="left"/>
            </w:pPr>
            <w:r>
              <w:rPr>
                <w:rFonts w:ascii="Times New Roman" w:hAnsi="Times New Roman" w:cs="Times New Roman" w:eastAsia="Times New Roman"/>
                <w:b w:val="false"/>
                <w:sz w:val="26"/>
              </w:rPr>
              <w:t>- Cách thực hiện: Nộp hồ sơ về cơ quan tiếp nhận hồ sơ giải quyết thủ tục hành chính do Chủ tịch Ủy ban nhân dân cấp tỉnh phân công.
- Thời hạn giải quyết: 34 ngày làm việc (trường hợp phải bổ sung, chỉnh sửa hồ sơ, thời gian giải quyết có thể kéo dài thêm tối đa 21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chuyển nhượng quyền khai thác khoáng sản</w:t>
            </w:r>
          </w:p>
        </w:tc>
        <w:tc>
          <w:p/>
          <w:p>
            <w:pPr>
              <w:spacing w:after="0" w:before="0" w:lineRule="auto" w:line="276"/>
              <w:jc w:val="left"/>
            </w:pPr>
            <w:r>
              <w:rPr>
                <w:rFonts w:ascii="Times New Roman" w:hAnsi="Times New Roman" w:cs="Times New Roman" w:eastAsia="Times New Roman"/>
                <w:b w:val="false"/>
                <w:sz w:val="26"/>
              </w:rPr>
              <w:t>Mauso12_VanbandenghichuyenhuongquyenKTKS.doc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đồ khu vực khai thác khoáng sản cùng các bản đồ, bản vẽ mặt cắt hiện trạng khu vực khai thác</w:t>
            </w:r>
          </w:p>
        </w:tc>
        <w:tc>
          <w:p/>
          <w:p>
            <w:pPr>
              <w:spacing w:after="0" w:before="0" w:lineRule="auto" w:line="276"/>
              <w:jc w:val="left"/>
            </w:pPr>
            <w:r>
              <w:rPr>
                <w:rFonts w:ascii="Times New Roman" w:hAnsi="Times New Roman" w:cs="Times New Roman" w:eastAsia="Times New Roman"/>
                <w:b w:val="false"/>
                <w:sz w:val="26"/>
              </w:rPr>
              <w:t>Mauso35_BandokhuvucKTKS.doc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Hợp đồng chuyển nhượng quyền khai thác khoảng sản, kèm theo bản kê giá trị tài sản chuyển nhượng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Báo cáo kết quả hoạt động khai thác khoáng sản từ thời điểm giấy phép có hiệu lực thi hành đến thời điểm chuyển nhượng quyền khai thác khoáng sản</w:t>
            </w:r>
          </w:p>
        </w:tc>
        <w:tc>
          <w:p/>
          <w:p>
            <w:pPr>
              <w:spacing w:after="0" w:before="0" w:lineRule="auto" w:line="276"/>
              <w:jc w:val="left"/>
            </w:pPr>
            <w:r>
              <w:rPr>
                <w:rFonts w:ascii="Times New Roman" w:hAnsi="Times New Roman" w:cs="Times New Roman" w:eastAsia="Times New Roman"/>
                <w:b w:val="false"/>
                <w:sz w:val="26"/>
              </w:rPr>
              <w:t>Mauso36_BCKQhoatdongKTKSKTtanthu.doc</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khai thác khoáng sản (chuyển nhượng) thuộc thẩm quyền cấp của 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10/2024/TT-BTC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thẩm định đánh giá trữ lượng khoáng sản và lệ phí cấp giấy phép hoạt động khoáng sản</w:t>
            </w:r>
          </w:p>
        </w:tc>
        <w:tc>
          <w:p/>
          <w:p>
            <w:pPr>
              <w:spacing w:after="0" w:before="0" w:lineRule="auto" w:line="276"/>
              <w:jc w:val="left"/>
            </w:pPr>
            <w:r>
              <w:rPr>
                <w:rFonts w:ascii="Times New Roman" w:hAnsi="Times New Roman" w:cs="Times New Roman" w:eastAsia="Times New Roman"/>
                <w:b w:val="false"/>
                <w:sz w:val="26"/>
              </w:rPr>
              <w:t>05-02-2024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54/2024/QH15</w:t>
            </w:r>
          </w:p>
        </w:tc>
        <w:tc>
          <w:p/>
          <w:p>
            <w:pPr>
              <w:spacing w:after="0" w:before="0" w:lineRule="auto" w:line="276"/>
              <w:jc w:val="left"/>
            </w:pPr>
            <w:r>
              <w:rPr>
                <w:rFonts w:ascii="Times New Roman" w:hAnsi="Times New Roman" w:cs="Times New Roman" w:eastAsia="Times New Roman"/>
                <w:b w:val="false"/>
                <w:sz w:val="26"/>
              </w:rPr>
              <w:t>Luật Địa chất và Khoáng sản</w:t>
            </w:r>
          </w:p>
        </w:tc>
        <w:tc>
          <w:p/>
          <w:p>
            <w:pPr>
              <w:spacing w:after="0" w:before="0" w:lineRule="auto" w:line="276"/>
              <w:jc w:val="left"/>
            </w:pPr>
            <w:r>
              <w:rPr>
                <w:rFonts w:ascii="Times New Roman" w:hAnsi="Times New Roman" w:cs="Times New Roman" w:eastAsia="Times New Roman"/>
                <w:b w:val="false"/>
                <w:sz w:val="26"/>
              </w:rPr>
              <w:t>29-11-2024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136/2025/NĐ-CP</w:t>
            </w:r>
          </w:p>
        </w:tc>
        <w:tc>
          <w:p/>
          <w:p>
            <w:pPr>
              <w:spacing w:after="0" w:before="0" w:lineRule="auto" w:line="276"/>
              <w:jc w:val="left"/>
            </w:pPr>
            <w:r>
              <w:rPr>
                <w:rFonts w:ascii="Times New Roman" w:hAnsi="Times New Roman" w:cs="Times New Roman" w:eastAsia="Times New Roman"/>
                <w:b w:val="false"/>
                <w:sz w:val="26"/>
              </w:rPr>
              <w:t>Nghị định quy định phân quyền, phân cấp trong lĩnh vực nông nghiệp và môi trường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36/2025/TT-BNNMT</w:t>
            </w:r>
          </w:p>
        </w:tc>
        <w:tc>
          <w:p/>
          <w:p>
            <w:pPr>
              <w:spacing w:after="0" w:before="0" w:lineRule="auto" w:line="276"/>
              <w:jc w:val="left"/>
            </w:pPr>
            <w:r>
              <w:rPr>
                <w:rFonts w:ascii="Times New Roman" w:hAnsi="Times New Roman" w:cs="Times New Roman" w:eastAsia="Times New Roman"/>
                <w:b w:val="false"/>
                <w:sz w:val="26"/>
              </w:rPr>
              <w:t>Thông tư 36/2025/TT-BNNMT quy định về khai thác khoáng sản, khai thác tận thu khoáng sản và thu hồi khoáng sản do Bộ trưởng Bộ Nông nghiệp và Môi trường ban hành</w:t>
            </w:r>
          </w:p>
        </w:tc>
        <w:tc>
          <w:p/>
          <w:p>
            <w:pPr>
              <w:spacing w:after="0" w:before="0" w:lineRule="auto" w:line="276"/>
              <w:jc w:val="left"/>
            </w:pPr>
            <w:r>
              <w:rPr>
                <w:rFonts w:ascii="Times New Roman" w:hAnsi="Times New Roman" w:cs="Times New Roman" w:eastAsia="Times New Roman"/>
                <w:b w:val="false"/>
                <w:sz w:val="26"/>
              </w:rPr>
              <w:t>02-07-2025</w:t>
            </w:r>
          </w:p>
        </w:tc>
        <w:tc>
          <w:p/>
        </w:tc>
      </w:tr>
      <w:tr>
        <w:tc>
          <w:p/>
          <w:p>
            <w:pPr>
              <w:spacing w:after="0" w:before="0" w:lineRule="auto" w:line="276"/>
              <w:jc w:val="left"/>
            </w:pPr>
            <w:r>
              <w:rPr>
                <w:rFonts w:ascii="Times New Roman" w:hAnsi="Times New Roman" w:cs="Times New Roman" w:eastAsia="Times New Roman"/>
                <w:b w:val="false"/>
                <w:sz w:val="26"/>
              </w:rPr>
              <w:t>193/2025/NĐ-CP</w:t>
            </w:r>
          </w:p>
        </w:tc>
        <w:tc>
          <w:p/>
          <w:p>
            <w:pPr>
              <w:spacing w:after="0" w:before="0" w:lineRule="auto" w:line="276"/>
              <w:jc w:val="left"/>
            </w:pPr>
            <w:r>
              <w:rPr>
                <w:rFonts w:ascii="Times New Roman" w:hAnsi="Times New Roman" w:cs="Times New Roman" w:eastAsia="Times New Roman"/>
                <w:b w:val="false"/>
                <w:sz w:val="26"/>
              </w:rPr>
              <w:t>193/2025/NĐ-CP</w:t>
            </w:r>
          </w:p>
        </w:tc>
        <w:tc>
          <w:p/>
          <w:p>
            <w:pPr>
              <w:spacing w:after="0" w:before="0" w:lineRule="auto" w:line="276"/>
              <w:jc w:val="left"/>
            </w:pPr>
            <w:r>
              <w:rPr>
                <w:rFonts w:ascii="Times New Roman" w:hAnsi="Times New Roman" w:cs="Times New Roman" w:eastAsia="Times New Roman"/>
                <w:b w:val="false"/>
                <w:sz w:val="26"/>
              </w:rPr>
              <w:t>02-07-2025</w:t>
            </w:r>
          </w:p>
        </w:tc>
        <w:tc>
          <w:p/>
        </w:tc>
      </w:tr>
      <w:tr>
        <w:tc>
          <w:p/>
          <w:p>
            <w:pPr>
              <w:spacing w:after="0" w:before="0" w:lineRule="auto" w:line="276"/>
              <w:jc w:val="left"/>
            </w:pPr>
            <w:r>
              <w:rPr>
                <w:rFonts w:ascii="Times New Roman" w:hAnsi="Times New Roman" w:cs="Times New Roman" w:eastAsia="Times New Roman"/>
                <w:b w:val="false"/>
                <w:sz w:val="26"/>
              </w:rPr>
              <w:t>21/2026/NĐ-CP</w:t>
            </w:r>
          </w:p>
        </w:tc>
        <w:tc>
          <w:p/>
          <w:p>
            <w:pPr>
              <w:spacing w:after="0" w:before="0" w:lineRule="auto" w:line="276"/>
              <w:jc w:val="left"/>
            </w:pPr>
            <w:r>
              <w:rPr>
                <w:rFonts w:ascii="Times New Roman" w:hAnsi="Times New Roman" w:cs="Times New Roman" w:eastAsia="Times New Roman"/>
                <w:b w:val="false"/>
                <w:sz w:val="26"/>
              </w:rPr>
              <w:t>Nghị định số 21/2026/NĐ-CP ngày 16/01/2026 của Chính phủ</w:t>
            </w:r>
          </w:p>
        </w:tc>
        <w:tc>
          <w:p/>
          <w:p>
            <w:pPr>
              <w:spacing w:after="0" w:before="0" w:lineRule="auto" w:line="276"/>
              <w:jc w:val="left"/>
            </w:pPr>
            <w:r>
              <w:rPr>
                <w:rFonts w:ascii="Times New Roman" w:hAnsi="Times New Roman" w:cs="Times New Roman" w:eastAsia="Times New Roman"/>
                <w:b w:val="false"/>
                <w:sz w:val="26"/>
              </w:rPr>
              <w:t>16-01-2026</w:t>
            </w:r>
          </w:p>
        </w:tc>
        <w:tc>
          <w:p/>
          <w:p>
            <w:pPr>
              <w:spacing w:after="0" w:before="0" w:lineRule="auto" w:line="276"/>
              <w:jc w:val="left"/>
            </w:pPr>
            <w:r>
              <w:rPr>
                <w:rFonts w:ascii="Times New Roman" w:hAnsi="Times New Roman" w:cs="Times New Roman" w:eastAsia="Times New Roman"/>
                <w:b w:val="false"/>
                <w:sz w:val="26"/>
              </w:rPr>
              <w:t>Thủ tướng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Tổ chức cá nhân được xem xét chuyển nhượng quyền khai thác khoáng sản phải đáp ứng các điều kiện sau:
- Tổ chức, cá nhân đã được cấp giấy phép khai thác khoáng sản chỉ được chuyển nhượng quyền khai thác khoáng sản sau khi đã hoàn thành công tác xây dựng cơ bản, đưa mỏ vào khai thác.
- Tổ chức, cá nhân nhận chuyển nhượng quyền khai thác khoáng sản phải có đủ điều kiện được cấp giấy phép khai thác khoáng sản.
- Tổ chức, cá nhân chuyển nhượng đã hoàn thành các nghĩa vụ theo quy định theo quy định tại các điểm a, d, đ, g, h, i, và k khoản 2 Điều 59 của Luật Địa chất và khoáng sản kèm theo các tài liệu chứng minh, cụ thể gồm:
+ Nộp tiền cấp quyền khai thác khoáng sản; hoàn trả chi phí đánh giá tiềm năng khoáng sản, chi phí thăm dò khoáng sản; nộp thuế, phí, lệ phí theo quy định của pháp luật; 
+ Bảo đảm tiến độ xây dựng cơ bản mỏ và các hoạt động khác được xác định trong báo cáo nghiên cứu khả thi hoặc tài liệu tương đương với báo cáo nghiên cứu khả thi của dự án đầu tư khai thác khoáng sản, thiết kế mỏ được phê duyệt theo quy định của pháp luật; trừ trường hợp bất khả kháng;
+ Đăng ký ngày bắt đầu xây dựng cơ bản mỏ, ngày bắt đầu khai thác khoáng sản với cơ quan quản lý nhà nước có thẩm quyền cấp giấy phép khai thác khoáng sản; thông báo cho Ủy ban nhân dân các cấp nơi có mỏ trước khi thực hiện;
+ Khai thác tối đa khoáng sản chính, khoáng sản đi kèm theo đúng nội dung quy định trong giấy phép khai thác khoáng sản; bảo vệ khoáng sản trong phạm vi ranh giới khu vực được phép khai thác khoáng sản; thực hiện bảo đảm an toàn, vệ sinh lao động và kỹ thuật an toàn trong khai thác khoáng sản; thực hiện các quy định về quản lý và bảo vệ kết cấu hạ tầng kỹ thuật và các biện pháp bảo vệ môi trường theo quy định của pháp luật; chấp hành các quy định về thanh tra, kiểm tra, kiểm soát hoạt động khoáng sản theo quy định của Luật này, pháp luật về thanh tra và quy định khác của pháp luật có liên quan; 
+ Lưu giữ, cập nhật, cung cấp thông tin về kết quả thăm dò bổ sung, khai thác khoáng sản; kiểm soát sản lượng khoáng sản khai thác thực tế trước khi vận chuyển ra khỏi khu vực thực hiện dự án đầu tư khai thác khoáng sản; đầu tư, lắp đặt và vận hành hệ thống thông tin, dữ liệu về hoạt động khoáng sản và kết nối với hệ thống thông tin, dữ liệu về hoạt động khoáng sản của cơ quan quản lý nhà nước có thẩm quyền cấp giấy phép theo quy định tại Điều 108 của Luật này;
+ Báo cáo kết quả hoạt động khai thác khoáng sản cho cơ quan quản lý nhà nước có thẩm quyền và chịu trách nhiệm về tính chính xác của thông tin, số liệu báo cáo;
+ Bồi thường thiệt hại do hoạt động khai thác khoáng sản gây ra theo quy định của pháp luật.
- Được Ủy ban nhân cấp tỉnh xác nhận việc thực hiện nghĩa vụ theo quy định;
- Tại thời điểm nộp hồ sơ, giấy phép khai thác khoáng sản còn hiệu lực ít nhất 06 tháng.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2026-05-19T11:43:15Z</dcterms:created>
  <dc:creator>Apache POI</dc:creator>
</cp:coreProperties>
</file>