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1.014260.H18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926/QĐ-UBND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Lựa chọn tổ chức, cá nhân để xem xét cấp giấy phép thăm dò khoáng sản ở khu vực không đấu giá quyền khai thác khoáng sản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Địa chất và khoáng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hồ sơ (tổ chức/cá nhân)
Tổ chức, cá nhân đề nghị xem xét cấp giấy phép thăm dò khoáng sản (thuộc thẩm quyền cấp của Chủ tịch Ủy ban nhân dân cấp tỉnh) ở khu vực không đấu giá quyền khai thác khoáng sản được lựa chọn nộp hồ sơ thông qua một trong các hình thức sau:
- Trực tiếp hoặc qua đường bưu điện về - Trung tâm Phục vụ hành chính công tỉnh Điện Biên - Trung tâm Phục vụ hành chính công cấp xã
- Trực tuyến thông qua Cổng Dịch vụ công Quốc gia (địa chỉ http://dichvucong.gov.vn).</w:t>
      </w:r>
    </w:p>
    <w:p>
      <w:pPr>
        <w:spacing w:after="0" w:before="0" w:lineRule="auto" w:line="276"/>
        <w:jc w:val="both"/>
      </w:pPr>
      <w:r>
        <w:rPr>
          <w:rFonts w:ascii="Times New Roman" w:hAnsi="Times New Roman" w:cs="Times New Roman" w:eastAsia="Times New Roman"/>
          <w:b w:val="false"/>
          <w:sz w:val="26"/>
        </w:rPr>
        <w:t>b) Bước 2. Tiếp nhận và thông báo công khai
- Trong thời hạn 03 ngày làm việc kể từ ngày nhận được hồ sơ của tổ chức, cá nhân đầu tiên có nhu cầu thăm dò khoáng sản, cơ quan tiếp nhận hồ sơ thông báo công khai tên tổ chức, cá nhân đó, tên loại khoáng sản và vị trí khu vực đề nghị thăm dò khoáng sản tại trụ sở cơ quan, cổng thông tin điện tử, trang thông tin điện tử của Ủy ban nhân dân cấp tỉnh.
Thời hạn thông báo là 08 ngày làm việc, kể từ ngày có thông báo nhận được hồ sơ của tổ chức, cá nhân đầu tiên. 
- Trong thời hạn thông báo nêu trên (08 ngày làm việc), cơ quan tiếp nhận hồ sơ tiếp tục nhận hồ sơ đề nghị cấp giấy phép thăm dò khoáng sản của các tổ chức, cá nhân khác (nếu có); tiếp tục thông báo công khai tên tổ chức, cá nhân đó tại trụ sở cơ quan, cổng thông tin điện tử, trang thông tin điện tử của Ủy ban nhân dân cấp tỉnh cho đến khi kết thúc thời hạn thông báo đầu tiên (08 ngày làm việc).
c) Bước 3. Thẩm định hồ sơ 
Trong thời hạn 08 ngày làm việc, kể từ ngày kết thúc công việc quy định tại các Bước 2, cơ quan tiếp nhận hồ sơ không nhận hồ sơ của tổ chức, cá nhân khác và chuyển hồ sơ đã tiếp nhận cho Sở Nông nghiệp và Môi trường để tiến hành lựa chọn tổ chức, cá nhân để cấp giấy phép thăm dò khoáng sản theo quy định tại khoản 3 Điều 30 của Nghị định số 193/2025/NĐ-CP ngày 02/7/2025 của Chính phủ được sửa đổi, bổ sung theo quy định tại khoản 6 Điều 1 Nghị định số 21/2026/NĐ-CP ngày 16/01/2026 của Chính Phủ.
d) Bước 4. Xem xét, quyết định 
Trong thời hạn 07 ngày làm việc, kể từ ngày kết thúc công việc tại Bước 3 nêu trên, Sở Nông nghiệp và Môi trường lựa chọn tổ chức, cá nhân để xem xét cấp giấy phép thăm dò khoáng sản ở khu vực không đấu giá quyền khai thác khoáng sản theo quy định tại Điều 30 Nghị định số 193/2025/NĐ-CP ngày 02/7/2025 của Chính phủ được sửa đổi, bổ sung theo quy định tại khoản 6 Điều 1 Nghị định số 21/2026/NĐ-CP ngày 16/01/2026 của Chính Phủ, trình Chủ tịch Ủy ban nhân dân cấp tỉnh ra thông báo kết quả lựa chọn tới tổ chức, cá nhân được lựa chọn để xem xét cấp giấy phép thăm dò khoáng sản. 
Đối với các tổ chức, cá nhân không được lựa chọn để xem xét cấp giấy phép thăm dò khoáng sản, Chủ tịch Ủy ban nhân dân cấp tỉnh có trách nhiệm thông báo bằng văn bản về lý do không được lựa chọn.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29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29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29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đồ khu vực thăm dò khoáng sản.</w:t>
            </w:r>
          </w:p>
        </w:tc>
        <w:tc>
          <w:p/>
          <w:p>
            <w:pPr>
              <w:spacing w:after="0" w:before="0" w:lineRule="auto" w:line="276"/>
              <w:jc w:val="left"/>
            </w:pPr>
            <w:r>
              <w:rPr>
                <w:rFonts w:ascii="Times New Roman" w:hAnsi="Times New Roman" w:cs="Times New Roman" w:eastAsia="Times New Roman"/>
                <w:b w:val="false"/>
                <w:sz w:val="26"/>
              </w:rPr>
              <w:t>Mauso09_BandokhuvucTDKS.doc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thăm dò khoáng sản và các bản vẽ kèm theo</w:t>
            </w:r>
          </w:p>
        </w:tc>
        <w:tc>
          <w:p/>
          <w:p>
            <w:pPr>
              <w:spacing w:after="0" w:before="0" w:lineRule="auto" w:line="276"/>
              <w:jc w:val="left"/>
            </w:pPr>
            <w:r>
              <w:rPr>
                <w:rFonts w:ascii="Times New Roman" w:hAnsi="Times New Roman" w:cs="Times New Roman" w:eastAsia="Times New Roman"/>
                <w:b w:val="false"/>
                <w:sz w:val="26"/>
              </w:rPr>
              <w:t>Mauso01_DeanTDKS.doc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doanh nghiệp mới thành lập trong năm nộp hồ sơ: Biên bản giao nhận tài sản góp vốn; Giấy chứng nhận phần vốn góp của các thành viên công ty, sổ đăng ký thành viên đối với Công ty trách nhiệm hữu hạn hai thành viên trở lên; Sổ đăng ký cổ đông, chứng từ thanh toán cổ phần đăng ký mua của các cổ đông sáng lập đối với Công ty cổ phần; Giấy chứng nhận phần vốn góp của các thành viên công ty; Quyết định giao vốn của chủ sở hữu đối với công ty trách nhiệm hữu hạn một thành viên mà chủ sở hữu là một tổ chức hoặc chứng từ chứng minh vốn đã góp của chủ sở hữu Công ty; Văn bản chứng minh vốn đầu tư của chủ doanh nghiệp tư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hợp tác xã, liên hiệp hợp tác xã mới thành lập trong năm nộp hồ sơ: Giấy chứng nhận góp vốn của các thành viên, hợp tác xã thành viên; Văn bản chứng minh đã nhận được các khoản trợ cấp, hỗ trợ của Nhà nước, của các tổ chức, cá nhân trong nước và nước ngoài; các khoản được tặng, cho và các nguồn thu hợp pháp khác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doanh nghiệp, hợp tác xã, liên hiệp hợp tác xã thành lập từ năm trước năm nộp hồ sơ trở về trước: hồ sơ năng lực tài chính phải có báo cáo tài chính đã được kiểm toán của năm gần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đề nghị cấp giấy phép thăm dò khoáng sản</w:t>
            </w:r>
          </w:p>
        </w:tc>
        <w:tc>
          <w:p/>
          <w:p>
            <w:pPr>
              <w:spacing w:after="0" w:before="0" w:lineRule="auto" w:line="276"/>
              <w:jc w:val="left"/>
            </w:pPr>
            <w:r>
              <w:rPr>
                <w:rFonts w:ascii="Times New Roman" w:hAnsi="Times New Roman" w:cs="Times New Roman" w:eastAsia="Times New Roman"/>
                <w:b w:val="false"/>
                <w:sz w:val="26"/>
              </w:rPr>
              <w:t>Mauso01_VanbandenghicapGPTDKS.doc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Các Sở, ngành và địa phương liên quan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 của Chủ tịch Ủy ban nhân dân cấp tỉnh và công khai kết quả lựa chọn tổ chức, cá nhân được xem xét cấp giấy phép thăm dò khoáng sản trên cổng thông tin điện tử, trang thông tin điện tử của Ủy ban nhân dân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54/2024/QH15</w:t>
            </w:r>
          </w:p>
        </w:tc>
        <w:tc>
          <w:p/>
          <w:p>
            <w:pPr>
              <w:spacing w:after="0" w:before="0" w:lineRule="auto" w:line="276"/>
              <w:jc w:val="left"/>
            </w:pPr>
            <w:r>
              <w:rPr>
                <w:rFonts w:ascii="Times New Roman" w:hAnsi="Times New Roman" w:cs="Times New Roman" w:eastAsia="Times New Roman"/>
                <w:b w:val="false"/>
                <w:sz w:val="26"/>
              </w:rPr>
              <w:t>Luật Địa chất và Khoáng sản</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37/2025/TT-BNNMT</w:t>
            </w:r>
          </w:p>
        </w:tc>
        <w:tc>
          <w:p/>
          <w:p>
            <w:pPr>
              <w:spacing w:after="0" w:before="0" w:lineRule="auto" w:line="276"/>
              <w:jc w:val="left"/>
            </w:pPr>
            <w:r>
              <w:rPr>
                <w:rFonts w:ascii="Times New Roman" w:hAnsi="Times New Roman" w:cs="Times New Roman" w:eastAsia="Times New Roman"/>
                <w:b w:val="false"/>
                <w:sz w:val="26"/>
              </w:rPr>
              <w:t>37/2025/TT-BNNMT</w:t>
            </w:r>
          </w:p>
        </w:tc>
        <w:tc>
          <w:p/>
          <w:p>
            <w:pPr>
              <w:spacing w:after="0" w:before="0" w:lineRule="auto" w:line="276"/>
              <w:jc w:val="left"/>
            </w:pPr>
            <w:r>
              <w:rPr>
                <w:rFonts w:ascii="Times New Roman" w:hAnsi="Times New Roman" w:cs="Times New Roman" w:eastAsia="Times New Roman"/>
                <w:b w:val="false"/>
                <w:sz w:val="26"/>
              </w:rPr>
              <w:t>02-07-2025</w:t>
            </w:r>
          </w:p>
        </w:tc>
        <w:tc>
          <w:p/>
        </w:tc>
      </w:tr>
      <w:tr>
        <w:tc>
          <w:p/>
          <w:p>
            <w:pPr>
              <w:spacing w:after="0" w:before="0" w:lineRule="auto" w:line="276"/>
              <w:jc w:val="left"/>
            </w:pPr>
            <w:r>
              <w:rPr>
                <w:rFonts w:ascii="Times New Roman" w:hAnsi="Times New Roman" w:cs="Times New Roman" w:eastAsia="Times New Roman"/>
                <w:b w:val="false"/>
                <w:sz w:val="26"/>
              </w:rPr>
              <w:t>40/2025/TT-BNNMT</w:t>
            </w:r>
          </w:p>
        </w:tc>
        <w:tc>
          <w:p/>
          <w:p>
            <w:pPr>
              <w:spacing w:after="0" w:before="0" w:lineRule="auto" w:line="276"/>
              <w:jc w:val="left"/>
            </w:pPr>
            <w:r>
              <w:rPr>
                <w:rFonts w:ascii="Times New Roman" w:hAnsi="Times New Roman" w:cs="Times New Roman" w:eastAsia="Times New Roman"/>
                <w:b w:val="false"/>
                <w:sz w:val="26"/>
              </w:rPr>
              <w:t>40/2025/TT-BNNMT</w:t>
            </w:r>
          </w:p>
        </w:tc>
        <w:tc>
          <w:p/>
          <w:p>
            <w:pPr>
              <w:spacing w:after="0" w:before="0" w:lineRule="auto" w:line="276"/>
              <w:jc w:val="left"/>
            </w:pPr>
            <w:r>
              <w:rPr>
                <w:rFonts w:ascii="Times New Roman" w:hAnsi="Times New Roman" w:cs="Times New Roman" w:eastAsia="Times New Roman"/>
                <w:b w:val="false"/>
                <w:sz w:val="26"/>
              </w:rPr>
              <w:t>02-07-2025</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193/2025/NĐ-CP</w:t>
            </w:r>
          </w:p>
        </w:tc>
        <w:tc>
          <w:p/>
          <w:p>
            <w:pPr>
              <w:spacing w:after="0" w:before="0" w:lineRule="auto" w:line="276"/>
              <w:jc w:val="left"/>
            </w:pPr>
            <w:r>
              <w:rPr>
                <w:rFonts w:ascii="Times New Roman" w:hAnsi="Times New Roman" w:cs="Times New Roman" w:eastAsia="Times New Roman"/>
                <w:b w:val="false"/>
                <w:sz w:val="26"/>
              </w:rPr>
              <w:t>193/2025/NĐ-CP</w:t>
            </w:r>
          </w:p>
        </w:tc>
        <w:tc>
          <w:p/>
          <w:p>
            <w:pPr>
              <w:spacing w:after="0" w:before="0" w:lineRule="auto" w:line="276"/>
              <w:jc w:val="left"/>
            </w:pPr>
            <w:r>
              <w:rPr>
                <w:rFonts w:ascii="Times New Roman" w:hAnsi="Times New Roman" w:cs="Times New Roman" w:eastAsia="Times New Roman"/>
                <w:b w:val="false"/>
                <w:sz w:val="26"/>
              </w:rPr>
              <w:t>02-07-2025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cá nhân quy định tại khoản 1 và khoản 2 Điều 37 của Luật Địa chất và khoáng sản:
+ Doanh nghiệp được thành lập theo Luật Doanh nghiệp; 
+ Hợp tác xã, liên hiệp hợp tác xã được thành lập theo Luật Hợp tác xã; 
+ Doanh nghiệp nước ngoài có văn phòng đại diện hoặc chi nhánh tại Việt Nam; 
+ Cá nhân hoặc các thành viên hộ gia đình đăng ký thành lập hộ kinh doanh có đăng ký kinh doanh ngành, nghề thuộc lĩnh vực hoạt động khoáng sản được xem xét cấp giấy phép thăm dò khoáng sản nhóm III.
- Tổ chức, cá nhân thăm dò khoáng sản phải có vốn chủ sở hữu, bảo lãnh ngân hàng bảo đảm 100% dự toán đề án thăm dò khoáng sản theo quy định tại Điều 26 Nghị định số 193/2025/NĐ-CP ngày 02/7/2025 của Chính phủ được sửa đổi, bổ sung theo quy định tại khoản 5 Điều 1 Nghị định số 21/2026/NĐ-CP ngày 16/01/2026 của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2026-05-26T17:45:19Z</dcterms:created>
  <dc:creator>Apache POI</dc:creator>
</cp:coreProperties>
</file>