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1.014310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3101/QĐ-BVHTTDL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hưởng trợ cấp sinh hoạt hàng tháng đối với Nghệ nhân nhân dân, Nghệ nhân ưu tú</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Di sản 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Nghệ nhân nhân dân, Nghệ nhân ưu tú gửi trực tuyến, nộp trực tiếp hoặc qua đường bưu điện 01 bộ hồ sơ tới Ủy ban nhân dân cấp xã nơi đăng ký thường trú.
- Trong thời hạn 10 ngày làm việc, kể từ ngày nhận được hồ sơ, Ủy ban nhân dân cấp xã có trách nhiệm kiểm tra hồ sơ và thông báo bằng văn bản cho cá nhân đề nghị nếu hồ sơ không đầy đủ hoặc không hợp lệ. Văn bản thông báo phải nêu rõ lý do và yêu cầu bổ sung hoặc chỉnh sửa hồ sơ liên quan.
- Trong thời hạn 05 ngày làm việc, kể từ ngày nhận đầy đủ hồ sơ hợp lệ, Ủy ban nhân dân cấp xã có trách nhiệm kiểm tra, đối chiếu với bản gốc các giấy tờ quy định tại Nghị định số 215/2025/NĐ-CP ngày 04 tháng 8 năm 2025 của Chính phủ; lập danh sách và hồ sơ của từng đối tượng đủ điều kiện hưởng trợ cấp sinh hoạt hàng tháng theo Mẫu số 06 tại Phụ lục I ban hành kèm theo Nghị định số 215/2025/NĐ-CP ngày 04 tháng 8 năm 2025 của Chính phủ.
- Chủ tịch Ủy ban nhân dân cấp xã xem xét, ra quyết định hưởng trợ cấp sinh hoạt hàng tháng đối với đối tượng đủ điều kiện hưởng.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Tờ khai của người đề nghị hưởng trợ cấp sinh hoạt hàng tháng theo Mẫu số 04 tại Phụ lục I ban hành kèm theo Nghị định số 215/2025/NĐ-CP ngày 04 tháng 8 năm 2025 của Chính phủ.</w:t>
            </w:r>
          </w:p>
        </w:tc>
        <w:tc>
          <w:p/>
          <w:p>
            <w:pPr>
              <w:spacing w:after="0" w:before="0" w:lineRule="auto" w:line="276"/>
              <w:jc w:val="left"/>
            </w:pPr>
            <w:r>
              <w:rPr>
                <w:rFonts w:ascii="Times New Roman" w:hAnsi="Times New Roman" w:cs="Times New Roman" w:eastAsia="Times New Roman"/>
                <w:b w:val="false"/>
                <w:sz w:val="26"/>
              </w:rPr>
              <w:t>Mauso04.docx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hưởng trợ cấp sinh hoạt hàng tháng đối với Nghệ nhân nhân dân, Nghệ nhân ưu tú</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45/2024/QH15</w:t>
            </w:r>
          </w:p>
        </w:tc>
        <w:tc>
          <w:p/>
          <w:p>
            <w:pPr>
              <w:spacing w:after="0" w:before="0" w:lineRule="auto" w:line="276"/>
              <w:jc w:val="left"/>
            </w:pPr>
            <w:r>
              <w:rPr>
                <w:rFonts w:ascii="Times New Roman" w:hAnsi="Times New Roman" w:cs="Times New Roman" w:eastAsia="Times New Roman"/>
                <w:b w:val="false"/>
                <w:sz w:val="26"/>
              </w:rPr>
              <w:t>Luật số 45/2024/QH15 của Quốc hội: Luật Di sản văn hóa</w:t>
            </w:r>
          </w:p>
        </w:tc>
        <w:tc>
          <w:p/>
          <w:p>
            <w:pPr>
              <w:spacing w:after="0" w:before="0" w:lineRule="auto" w:line="276"/>
              <w:jc w:val="left"/>
            </w:pPr>
            <w:r>
              <w:rPr>
                <w:rFonts w:ascii="Times New Roman" w:hAnsi="Times New Roman" w:cs="Times New Roman" w:eastAsia="Times New Roman"/>
                <w:b w:val="false"/>
                <w:sz w:val="26"/>
              </w:rPr>
              <w:t>23-11-2024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2026-05-26T20:03:15Z</dcterms:created>
  <dc:creator>Apache POI</dc:creator>
</cp:coreProperties>
</file>