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Lựa chọn tổ chức, cá nhân để xem xét cấp giấy phép thăm dò khoáng sản ở khu vực không đấu giá quyền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(tổ chức/cá nhân)
Tổ chức, cá nhân đề nghị xem xét cấp giấy phép thăm dò khoáng sản (thuộc thẩm quyền cấp của Chủ tịch Ủy ban nhân dân cấp tỉnh) ở khu vực không đấu giá quyền khai thác khoáng sản được lựa chọn nộp hồ sơ thông qua một trong các hình thức sau:
- Trực tiếp hoặc qua đường bưu điện về cơ quan tiếp nhận hồ sơ giải quyết thủ tục hành chính do Chủ tịch Ủy ban nhân dân cấp tỉnh phân công (sau đây viết tắt là cơ quan tiếp nhận hồ sơ).
- Trực tuyến thông qua Cổng Dịch vụ công Quốc gia (địa chỉ http://dichvucong.gov.vn).
b) Bước 2. Tiếp nhận và thông báo công khai
- Trong thời hạn 03 ngày làm việc kể từ ngày nhận được hồ sơ của tổ chức, cá nhân đầu tiên có nhu cầu thăm dò khoáng sản, cơ quan tiếp nhận hồ sơ thông báo công khai tên tổ chức, cá nhân đó, tên loại khoáng sản và vị trí khu vực đề nghị thăm dò khoáng sản tại trụ sở cơ quan, cổng thông tin điện tử, trang thông tin điện tử của Ủy ban nhân dân cấp tỉnh.
Thời hạn thông báo là 08 ngày làm việc, kể từ ngày có thông báo nhận được hồ sơ của tổ chức, cá nhân đầu tiên. 
- Trong thời hạn thông báo nêu trên (08 ngày làm việc), cơ quan tiếp nhận hồ sơ tiếp tục nhận hồ sơ đề nghị cấp giấy phép thăm dò khoáng sản của các tổ chức, cá nhân khác (nếu có); tiếp tục thông báo công khai tên tổ chức, cá nhân đó tại trụ sở cơ quan, cổng thông tin điện tử, trang thông tin điện tử của Ủy ban nhân dân cấp tỉnh cho đến khi kết thúc thời hạn thông báo đầu tiên (08 ngày làm việc).
c) Bước 3. Thẩm định hồ sơ 
Trong thời hạn 08 ngày làm việc, kể từ ngày kết thúc công việc quy định tại các Bước 2, cơ quan tiếp nhận hồ sơ không nhận hồ sơ của tổ chức, cá nhân khác và chuyển hồ sơ đã tiếp nhận cho Sở Nông nghiệp và Môi trường để tiến hành lựa chọn tổ chức, cá nhân để cấp giấy phép thăm dò khoáng sản theo quy định tại khoản 3 Điều 30 của Nghị định số 193/2025/NĐ-CP ngày 02/7/2025 của Chính phủ được sửa đổi, bổ sung theo quy định tại khoản 6 Điều 1 Nghị định số 21/2026/NĐ-CP ngày 16/01/2026 của Chính Phủ.
d) Bước 4. Xem xét, quyết định 
Trong thời hạn 07 ngày làm việc, kể từ ngày kết thúc công việc tại Bước 3 nêu trên, Sở Nông nghiệp và Môi trường lựa chọn tổ chức, cá nhân để xem xét cấp giấy phép thăm dò khoáng sản ở khu vực không đấu giá quyền khai thác khoáng sản theo quy định tại Điều 30 Nghị định số 193/2025/NĐ-CP ngày 02/7/2025 của Chính phủ được sửa đổi, bổ sung theo quy định tại khoản 6 Điều 1 Nghị định số 21/2026/NĐ-CP ngày 16/01/2026 của Chính Phủ, trình Chủ tịch Ủy ban nhân dân cấp tỉnh ra thông báo kết quả lựa chọn tới tổ chức, cá nhân được lựa chọn để xem xét cấp giấy phép thăm dò khoáng sản. 
Đối với các tổ chức, cá nhân không được lựa chọn để xem xét cấp giấy phép thăm dò khoáng sản, Chủ tịch Ủy ban nhân dân cấp tỉnh có trách nhiệm thông báo bằng văn bản về lý do không được lựa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về cơ quan tiếp nhận hồ sơ giải quyết thủ tục hành chính do Chủ tịch Ủy ban nhân dân cấp tỉnh phân công.
*Thời hạn giải quyết: 29 ngày làm việc, kể từ ngày nhận được hồ sơ của tổ chức, cá nhân đầu tiên có nhu cầu thăm dò khoáng sản.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thông qua Cổng Dịch vụ công Quốc gia (địa chỉ http://dichvucong.gov.vn).
*Thời hạn giải quyết: 29 ngày làm việc, kể từ ngày nhận được hồ sơ của tổ chức, cá nhân đầu tiên có nhu cầu thăm dò khoáng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Cách thực hiện: Nộp hồ sơ về cơ quan tiếp nhận hồ sơ giải quyết thủ tục hành chính do Chủ tịch Ủy ban nhân dân cấp tỉnh phân công.
*Thời hạn giải quyết: 29 ngày làm việc, kể từ ngày nhận được hồ sơ của tổ chức, cá nhân đầu tiên có nhu cầu thăm dò khoáng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thăm dò khoáng sản</w:t>
            </w:r>
          </w:p>
        </w:tc>
        <w:tc>
          <w:p/>
          <w:p>
            <w:pPr>
              <w:spacing w:after="0" w:before="0" w:lineRule="auto" w:line="276"/>
              <w:jc w:val="left"/>
            </w:pPr>
            <w:r>
              <w:rPr>
                <w:rFonts w:ascii="Times New Roman" w:hAnsi="Times New Roman" w:cs="Times New Roman" w:eastAsia="Times New Roman"/>
                <w:b w:val="false"/>
                <w:sz w:val="26"/>
              </w:rPr>
              <w:t>Mauso01_VanbandenghicapGPTDKS.doc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thăm dò khoáng sản.</w:t>
            </w:r>
          </w:p>
        </w:tc>
        <w:tc>
          <w:p/>
          <w:p>
            <w:pPr>
              <w:spacing w:after="0" w:before="0" w:lineRule="auto" w:line="276"/>
              <w:jc w:val="left"/>
            </w:pPr>
            <w:r>
              <w:rPr>
                <w:rFonts w:ascii="Times New Roman" w:hAnsi="Times New Roman" w:cs="Times New Roman" w:eastAsia="Times New Roman"/>
                <w:b w:val="false"/>
                <w:sz w:val="26"/>
              </w:rPr>
              <w:t>Mauso09_BandokhuvucTDKS.doc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thăm dò khoáng sản và các bản vẽ kèm theo</w:t>
            </w:r>
          </w:p>
        </w:tc>
        <w:tc>
          <w:p/>
          <w:p>
            <w:pPr>
              <w:spacing w:after="0" w:before="0" w:lineRule="auto" w:line="276"/>
              <w:jc w:val="left"/>
            </w:pPr>
            <w:r>
              <w:rPr>
                <w:rFonts w:ascii="Times New Roman" w:hAnsi="Times New Roman" w:cs="Times New Roman" w:eastAsia="Times New Roman"/>
                <w:b w:val="false"/>
                <w:sz w:val="26"/>
              </w:rPr>
              <w:t>Mauso01_DeanTDKS.doc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doanh nghiệp mới thành lập trong năm nộp hồ sơ: Biên bản giao nhận tài sản góp vốn; Giấy chứng nhận phần vốn góp của các thành viên công ty, sổ đăng ký thành viên đối với Công ty trách nhiệm hữu hạn hai thành viên trở lên; Sổ đăng ký cổ đông, chứng từ thanh toán cổ phần đăng ký mua của các cổ đông sáng lập đối với Công ty cổ phần; Giấy chứng nhận phần vốn góp của các thành viên công ty; Quyết định giao vốn của chủ sở hữu đối với công ty trách nhiệm hữu hạn một thành viên mà chủ sở hữu là một tổ chức hoặc chứng từ chứng minh vốn đã góp của chủ sở hữu Công ty; Văn bản chứng minh vốn đầu tư của chủ doanh nghiệp tư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hợp tác xã, liên hiệp hợp tác xã mới thành lập trong năm nộp hồ sơ: Giấy chứng nhận góp vốn của các thành viên, hợp tác xã thành viên; Văn bản chứng minh đã nhận được các khoản trợ cấp, hỗ trợ của Nhà nước, của các tổ chức, cá nhân trong nước và nước ngoài; các khoản được tặng, cho và các nguồn thu hợp pháp khác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doanh nghiệp, hợp tác xã, liên hiệp hợp tác xã thành lập từ năm trước năm nộp hồ sơ trở về trước: hồ sơ năng lực tài chính phải có báo cáo tài chính đã được kiểm toán của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tiếp nhận hồ sơ giải quyết thủ tục hành chính do Chủ tịch Ủy ban nhân dân cấp tỉnh phân công hoặc thông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của Chủ tịch Ủy ban nhân dân cấp tỉnh và công khai kết quả lựa chọn tổ chức, cá nhân được xem xét cấp giấy phép thăm dò khoáng sản trên cổng thông tin điện tử, trang thông tin điện tử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37/2025/TT-BNNMT</w:t>
            </w:r>
          </w:p>
        </w:tc>
        <w:tc>
          <w:p/>
          <w:p>
            <w:pPr>
              <w:spacing w:after="0" w:before="0" w:lineRule="auto" w:line="276"/>
              <w:jc w:val="left"/>
            </w:pPr>
            <w:r>
              <w:rPr>
                <w:rFonts w:ascii="Times New Roman" w:hAnsi="Times New Roman" w:cs="Times New Roman" w:eastAsia="Times New Roman"/>
                <w:b w:val="false"/>
                <w:sz w:val="26"/>
              </w:rPr>
              <w:t>37/2025/TT-BNNMT</w:t>
            </w:r>
          </w:p>
        </w:tc>
        <w:tc>
          <w:p/>
          <w:p>
            <w:pPr>
              <w:spacing w:after="0" w:before="0" w:lineRule="auto" w:line="276"/>
              <w:jc w:val="left"/>
            </w:pPr>
            <w:r>
              <w:rPr>
                <w:rFonts w:ascii="Times New Roman" w:hAnsi="Times New Roman" w:cs="Times New Roman" w:eastAsia="Times New Roman"/>
                <w:b w:val="false"/>
                <w:sz w:val="26"/>
              </w:rPr>
              <w:t>02-07-2025</w:t>
            </w:r>
          </w:p>
        </w:tc>
        <w:tc>
          <w:p/>
        </w:tc>
      </w:tr>
      <w:tr>
        <w:tc>
          <w:p/>
          <w:p>
            <w:pPr>
              <w:spacing w:after="0" w:before="0" w:lineRule="auto" w:line="276"/>
              <w:jc w:val="left"/>
            </w:pPr>
            <w:r>
              <w:rPr>
                <w:rFonts w:ascii="Times New Roman" w:hAnsi="Times New Roman" w:cs="Times New Roman" w:eastAsia="Times New Roman"/>
                <w:b w:val="false"/>
                <w:sz w:val="26"/>
              </w:rPr>
              <w:t>40/2025/TT-BNNMT</w:t>
            </w:r>
          </w:p>
        </w:tc>
        <w:tc>
          <w:p/>
          <w:p>
            <w:pPr>
              <w:spacing w:after="0" w:before="0" w:lineRule="auto" w:line="276"/>
              <w:jc w:val="left"/>
            </w:pPr>
            <w:r>
              <w:rPr>
                <w:rFonts w:ascii="Times New Roman" w:hAnsi="Times New Roman" w:cs="Times New Roman" w:eastAsia="Times New Roman"/>
                <w:b w:val="false"/>
                <w:sz w:val="26"/>
              </w:rPr>
              <w:t>40/2025/TT-BNNMT</w:t>
            </w:r>
          </w:p>
        </w:tc>
        <w:tc>
          <w:p/>
          <w:p>
            <w:pPr>
              <w:spacing w:after="0" w:before="0" w:lineRule="auto" w:line="276"/>
              <w:jc w:val="left"/>
            </w:pPr>
            <w:r>
              <w:rPr>
                <w:rFonts w:ascii="Times New Roman" w:hAnsi="Times New Roman" w:cs="Times New Roman" w:eastAsia="Times New Roman"/>
                <w:b w:val="false"/>
                <w:sz w:val="26"/>
              </w:rPr>
              <w:t>02-07-2025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193/2025/NĐ-CP</w:t>
            </w:r>
          </w:p>
        </w:tc>
        <w:tc>
          <w:p/>
          <w:p>
            <w:pPr>
              <w:spacing w:after="0" w:before="0" w:lineRule="auto" w:line="276"/>
              <w:jc w:val="left"/>
            </w:pPr>
            <w:r>
              <w:rPr>
                <w:rFonts w:ascii="Times New Roman" w:hAnsi="Times New Roman" w:cs="Times New Roman" w:eastAsia="Times New Roman"/>
                <w:b w:val="false"/>
                <w:sz w:val="26"/>
              </w:rPr>
              <w:t>02-07-2025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quy định tại khoản 1 và khoản 2 Điều 37 của Luật Địa chất và khoáng sản:
+ Doanh nghiệp được thành lập theo Luật Doanh nghiệp; 
+ Hợp tác xã, liên hiệp hợp tác xã được thành lập theo Luật Hợp tác xã; 
+ Doanh nghiệp nước ngoài có văn phòng đại diện hoặc chi nhánh tại Việt Nam; 
+ Cá nhân hoặc các thành viên hộ gia đình đăng ký thành lập hộ kinh doanh có đăng ký kinh doanh ngành, nghề thuộc lĩnh vực hoạt động khoáng sản được xem xét cấp giấy phép thăm dò khoáng sản nhóm III.
- Tổ chức, cá nhân thăm dò khoáng sản phải có vốn chủ sở hữu, bảo lãnh ngân hàng bảo đảm 100% dự toán đề án thăm dò khoáng sản theo quy định tại Điều 26 Nghị định số 193/2025/NĐ-CP ngày 02/7/2025 của Chính phủ được sửa đổi, bổ sung theo quy định tại khoản 5 Điều 1 Nghị định số 21/2026/NĐ-CP ngày 16/01/2026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2026-05-22T15:19:22Z</dcterms:created>
  <dc:creator>Apache POI</dc:creator>
</cp:coreProperties>
</file>