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phải đề nghị sửa đổi giấy phép trong các trường hợp sau:
- Thay đổi các thông tin về tổ chức, cá nhân được ghi trong giấy phép bao gồm tên, địa chỉ, số điện thoại, số fax;
- Giảm số lượng thiết bị bức xạ trong giấy phép do chuyển nhượng, xuất khẩu, chấm dứt sử dụng, chấm dứt vận hành hoặc bị mất;
- Hiệu chỉnh lại thông tin về thiết bị bức xạ trong trường hợp phát hiện thông tin về thiết bị bức xạ trong giấy phép chưa chính xác so với thực tế;
- Thay đổi địa điểm tiến hành công việc bức xạ đối với thiết bị phát tia X có cơ cấu tự che chắn trong phân tích thành phần và kiểm tra chất lượng sản phẩm, thiết bị soi kiểm tra an ninh;
- Có nhiều giấy phép còn hiệu lực do cùng một cơ quan có thẩm quyền cấp.</w:t>
      </w:r>
    </w:p>
    <w:p>
      <w:pPr>
        <w:spacing w:after="0" w:before="0" w:lineRule="auto" w:line="276"/>
        <w:jc w:val="both"/>
      </w:pPr>
      <w:r>
        <w:rPr>
          <w:rFonts w:ascii="Times New Roman" w:hAnsi="Times New Roman" w:cs="Times New Roman" w:eastAsia="Times New Roman"/>
          <w:b w:val="false"/>
          <w:sz w:val="26"/>
        </w:rPr>
        <w:t>Tổ chức, cá nhân nộp hồ sơ theo trình tự sau:
Bước 1: Tổ chức, cá nhân có nhu cầu đề nghị sửa đổi giấy phép tiến hành công việc bức xạ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nộp hồ sơ đến UBND cấp tỉnh.</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UBND cấp tỉnh kiểm tra tính đầy đủ, hợp lệ của hồ sơ và thông báo bằng văn bản đối với hồ sơ hợp lệ hoặc thông báo bằng văn bản yêu cầu sửa đổi, bổ sung hồ sơ nếu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đủ hồ sơ hợp lệ theo quy định, UBND cấp tỉnh tổ chức thẩm định hồ sơ và cấp sửa đổi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sửa đổi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theo quy định, UBND cấp tỉnh tổ chức thẩm định hồ sơ và cấp sửa đổi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sửa đổi giấy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theo quy định, UBND cấp tỉnh tổ chức thẩm định hồ sơ và cấp sửa đổi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sửa đổi giấy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theo quy định, UBND cấp tỉnh tổ chức thẩm định hồ sơ và cấp sửa đổi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sửa đổi giấy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sửa đổi giấy phép tiến hành công việc bức xạ (theo mẫu);</w:t>
            </w:r>
          </w:p>
        </w:tc>
        <w:tc>
          <w:p/>
          <w:p>
            <w:pPr>
              <w:spacing w:after="0" w:before="0" w:lineRule="auto" w:line="276"/>
              <w:jc w:val="left"/>
            </w:pPr>
            <w:r>
              <w:rPr>
                <w:rFonts w:ascii="Times New Roman" w:hAnsi="Times New Roman" w:cs="Times New Roman" w:eastAsia="Times New Roman"/>
                <w:b w:val="false"/>
                <w:sz w:val="26"/>
              </w:rPr>
              <w:t>Mus07PhlcIV.docx-nxinsaigiyphp.docx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chuyển nhượng đối với trường hợp giảm số lượng thiết bị bức xạ do chuyển nhượng; văn bản thông báo của cơ sở về việc chấm dứt sử dụng thiết bị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văn bản chứng minh các thông tin về thiết bị bức xạ trong giấy phép đã cấp khác với thông tin về thiết bị bức xạ trên thực tế và cần hiệu đính.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xác nhận thông tin sửa đổi cho các trường hợp thay đổi tên, địa chỉ, số điện thoại, số fax.-</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18/2008/QH12-Năng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13/2023/TT-BKHCN</w:t>
            </w:r>
          </w:p>
        </w:tc>
        <w:tc>
          <w:p/>
          <w:p>
            <w:pPr>
              <w:spacing w:after="0" w:before="0" w:lineRule="auto" w:line="276"/>
              <w:jc w:val="left"/>
            </w:pPr>
            <w:r>
              <w:rPr>
                <w:rFonts w:ascii="Times New Roman" w:hAnsi="Times New Roman" w:cs="Times New Roman" w:eastAsia="Times New Roman"/>
                <w:b w:val="false"/>
                <w:sz w:val="26"/>
              </w:rPr>
              <w:t>Thông tư số 13/2023/TT-BKHCN ngày 30 tháng 6 năm 2023 của Bộ trưởng Bộ Khoa học và công nghệ bãi bỏ một số văn bản quy phạm pháp luật do Bộ trưởng Bộ Khoa học và Công nghệ ban hành, liên tịch ban hành.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2026-05-20T21:40:48Z</dcterms:created>
  <dc:creator>Apache POI</dc:creator>
</cp:coreProperties>
</file>