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1.014155.H18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1935/QĐ-UBND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Thẩm định nhiệm vụ quy hoạch, nhiệm vụ điều chỉnh quy hoạch đô thị và nông thôn do nhà đầu tư đã được lựa  chọn để thực hiện dự án đầu tư tổ chức lập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Quy hoạch đô thị và nông thôn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Nhà đầu tư tổ chức lập hồ sơ nhiệm vụ quy hoạch đô thị và nông thôn và trình cơ quan thẩm định quy hoạch nhiệm vụ quy hoạch.
-	Cơ quan thẩm định quy hoạch kiểm tra thành phần, nội dung hồ sơ nhiệm vụ quy hoạch bảo đảm theo quy định của pháp luật về quy hoạch đô thị và nông thôn; thành lập hoặc tham mưu cấp có thẩm quyền thành lập Hội đồng thẩm định; tổ chức lấy ý kiến các thành viên Hội đồng thẩm định trước khi tổ chức họp hội đồng thẩm định nhiệm vụ quy hoạch.
-	Cơ quan thẩm định quy hoạch có trách nhiệm tổng hợp ý kiến thẩm định của các thành viên hội đồng thẩm định, của các cơ quan quản lý nhà nước có liên quan và gửi cơ quan tổ chức lập quy hoạch để nghiên cứu, tiếp thu, giải trình, hoàn thiện hồ sơ nhiệm vụ quy hoạch trước khi nhiệm vụ quy hoạch đô thị và nông thôn được trình cấp phê duyệt quy hoạch.
-	Cơ quan tổ chức lập quy hoạch phải tiếp thu, giải trình đầy đủ các ý kiến thẩm định do cơ quan thẩm định tổng hợp; hoàn thiện hồ sơ nhiệm vụ quy hoạch đô thị và nông thôn, gửi lại để cơ quan thẩm định quy hoạch kiểm tra và làm cơ sở hoàn thiện, ban hành báo cáo thẩm định trước khi cơ quan tổ chức lập quy hoạch trình cấp phê duyệt quy hoạch.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15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15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15 ngày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Thành phần hồ sơ theo quy định về hồ sơ trình thẩm định tại Thông tư số 16/2025/TT-BXD:</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trình đề nghị thẩm định nhiệm vụ quy hoạch hoặc nhiệm vụ điều chỉnh quy hoạch đô thị và nông thôn.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Hồ sơ bản giấy: Thuyết minh; Dự thảo Quyết định của cấp có thẩm quyền phê duyệt nhiệm vụ quy hoạch; Các văn bản, tài liệu liên quan; Bản vẽ.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Hồ sơ điện tử: Cơ sở dữ liệu số cơ bản là các tệp tin (file) bản vẽ và văn bản được in ấn thành một phần của hồ sơ nhiệm vụ quy hoạch bản giấy; Cơ sở dữ liệu số pháp lý bao gồm các tệp tin (file) được số hóa, quét (scan) từ hồ sơ bằng bản giấy hoặc chứng thực điện tử; Cơ sở dữ liệu số địa lý (GIS) quy hoạch đô thị và nông thôn bao gồm các tệp tin (file) được chuyển đổi thành dữ liệu địa lý từ cơ sở dữ liệu gốc.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chức năng do Ủy ban nhân dân cấp tỉnh chỉ định, Ủy ban nhân dân cấp xã, Sở Xây dựng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tỉnh Điện Biên: Đối với nhiệm vụ quy hoạch, nhiệm vụ điều chỉnh quy hoạch đô thị và nông thôn có phạm vi quy hoạch liên quan đến địa giới đơn vị hành chính của 02 đơn vị hành chính cấp xã trở lên. - Trung tâm Phục vụ hành chính công các xã, phường: đối với nhiệm vụ quy hoạch, nhiệm vụ điều chỉnh quy hoạch đô thị và nông thôn có phạm vi quy hoạch thuộc địa giới hành chính của 01 đơn vị hành chính cấp xã. - Cơ quan chuyên môn thuộc cơ quan, tổ chức quản lý khu chức năng đối với nhiệm vụ quy hoạch, nhiệm vụ điều chỉnh quy hoạch thuộc thẩm quyền phê duyệt của cơ quan, tổ chức quản lý khu chức năng.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Báo cáo thẩm định nhiệm vụ quy hoạch hoặc báo cáo thẩm định nhiệm vụ điều chỉnh quy hoạch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145/2025/NĐ-CP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PHÂN QUYỀN, PHÂN CẤP TRONG LĨNH VỰC QUY HOẠCH ĐÔ THỊ VÀ NÔNG THÔN</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47/2024/QH15</w:t>
            </w:r>
          </w:p>
        </w:tc>
        <w:tc>
          <w:p/>
          <w:p>
            <w:pPr>
              <w:spacing w:after="0" w:before="0" w:lineRule="auto" w:line="276"/>
              <w:jc w:val="left"/>
            </w:pPr>
            <w:r>
              <w:rPr>
                <w:rFonts w:ascii="Times New Roman" w:hAnsi="Times New Roman" w:cs="Times New Roman" w:eastAsia="Times New Roman"/>
                <w:b w:val="false"/>
                <w:sz w:val="26"/>
              </w:rPr>
              <w:t>Luật số 47/2024/QH15 của Quốc hội: Luật Quy hoạch đô thị và nông thôn</w:t>
            </w:r>
          </w:p>
        </w:tc>
        <w:tc>
          <w:p/>
          <w:p>
            <w:pPr>
              <w:spacing w:after="0" w:before="0" w:lineRule="auto" w:line="276"/>
              <w:jc w:val="left"/>
            </w:pPr>
            <w:r>
              <w:rPr>
                <w:rFonts w:ascii="Times New Roman" w:hAnsi="Times New Roman" w:cs="Times New Roman" w:eastAsia="Times New Roman"/>
                <w:b w:val="false"/>
                <w:sz w:val="26"/>
              </w:rPr>
              <w:t>26-11-2024</w:t>
            </w:r>
          </w:p>
        </w:tc>
        <w:tc>
          <w:p/>
        </w:tc>
      </w:tr>
      <w:tr>
        <w:tc>
          <w:p/>
          <w:p>
            <w:pPr>
              <w:spacing w:after="0" w:before="0" w:lineRule="auto" w:line="276"/>
              <w:jc w:val="left"/>
            </w:pPr>
            <w:r>
              <w:rPr>
                <w:rFonts w:ascii="Times New Roman" w:hAnsi="Times New Roman" w:cs="Times New Roman" w:eastAsia="Times New Roman"/>
                <w:b w:val="false"/>
                <w:sz w:val="26"/>
              </w:rPr>
              <w:t>178/2025/NĐ-CP</w:t>
            </w:r>
          </w:p>
        </w:tc>
        <w:tc>
          <w:p/>
          <w:p>
            <w:pPr>
              <w:spacing w:after="0" w:before="0" w:lineRule="auto" w:line="276"/>
              <w:jc w:val="left"/>
            </w:pPr>
            <w:r>
              <w:rPr>
                <w:rFonts w:ascii="Times New Roman" w:hAnsi="Times New Roman" w:cs="Times New Roman" w:eastAsia="Times New Roman"/>
                <w:b w:val="false"/>
                <w:sz w:val="26"/>
              </w:rPr>
              <w:t>Quy định chi tiết một số điều của Luật Quy hoạch đô thị và nông thôn.</w:t>
            </w:r>
          </w:p>
        </w:tc>
        <w:tc>
          <w:p/>
          <w:p>
            <w:pPr>
              <w:spacing w:after="0" w:before="0" w:lineRule="auto" w:line="276"/>
              <w:jc w:val="left"/>
            </w:pPr>
            <w:r>
              <w:rPr>
                <w:rFonts w:ascii="Times New Roman" w:hAnsi="Times New Roman" w:cs="Times New Roman" w:eastAsia="Times New Roman"/>
                <w:b w:val="false"/>
                <w:sz w:val="26"/>
              </w:rPr>
              <w:t>01-07-2025</w:t>
            </w:r>
          </w:p>
        </w:tc>
        <w:tc>
          <w:p/>
        </w:tc>
      </w:tr>
      <w:tr>
        <w:tc>
          <w:p/>
          <w:p>
            <w:pPr>
              <w:spacing w:after="0" w:before="0" w:lineRule="auto" w:line="276"/>
              <w:jc w:val="left"/>
            </w:pPr>
            <w:r>
              <w:rPr>
                <w:rFonts w:ascii="Times New Roman" w:hAnsi="Times New Roman" w:cs="Times New Roman" w:eastAsia="Times New Roman"/>
                <w:b w:val="false"/>
                <w:sz w:val="26"/>
              </w:rPr>
              <w:t>16/2025/TT-BXD</w:t>
            </w:r>
          </w:p>
        </w:tc>
        <w:tc>
          <w:p/>
          <w:p>
            <w:pPr>
              <w:spacing w:after="0" w:before="0" w:lineRule="auto" w:line="276"/>
              <w:jc w:val="left"/>
            </w:pPr>
            <w:r>
              <w:rPr>
                <w:rFonts w:ascii="Times New Roman" w:hAnsi="Times New Roman" w:cs="Times New Roman" w:eastAsia="Times New Roman"/>
                <w:b w:val="false"/>
                <w:sz w:val="26"/>
              </w:rPr>
              <w:t>Quy định chi tiết một số điều của Luật Quy hoạch đô thị và nông thôn</w:t>
            </w:r>
          </w:p>
        </w:tc>
        <w:tc>
          <w:p/>
          <w:p>
            <w:pPr>
              <w:spacing w:after="0" w:before="0" w:lineRule="auto" w:line="276"/>
              <w:jc w:val="left"/>
            </w:pPr>
            <w:r>
              <w:rPr>
                <w:rFonts w:ascii="Times New Roman" w:hAnsi="Times New Roman" w:cs="Times New Roman" w:eastAsia="Times New Roman"/>
                <w:b w:val="false"/>
                <w:sz w:val="26"/>
              </w:rPr>
              <w:t>30-06-2025</w:t>
            </w:r>
          </w:p>
        </w:tc>
        <w:tc>
          <w:p/>
        </w:tc>
      </w:tr>
      <w:tr>
        <w:tc>
          <w:p/>
          <w:p>
            <w:pPr>
              <w:spacing w:after="0" w:before="0" w:lineRule="auto" w:line="276"/>
              <w:jc w:val="left"/>
            </w:pPr>
            <w:r>
              <w:rPr>
                <w:rFonts w:ascii="Times New Roman" w:hAnsi="Times New Roman" w:cs="Times New Roman" w:eastAsia="Times New Roman"/>
                <w:b w:val="false"/>
                <w:sz w:val="26"/>
              </w:rPr>
              <w:t>17/2025/TT-BXD</w:t>
            </w:r>
          </w:p>
        </w:tc>
        <w:tc>
          <w:p/>
          <w:p>
            <w:pPr>
              <w:spacing w:after="0" w:before="0" w:lineRule="auto" w:line="276"/>
              <w:jc w:val="left"/>
            </w:pPr>
            <w:r>
              <w:rPr>
                <w:rFonts w:ascii="Times New Roman" w:hAnsi="Times New Roman" w:cs="Times New Roman" w:eastAsia="Times New Roman"/>
                <w:b w:val="false"/>
                <w:sz w:val="26"/>
              </w:rPr>
              <w:t>Ban hành định mức, phương pháp lập và quản lý chi phí cho hoạt động quy hoạch đô thị và nông thôn</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Bộ Xây dựng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2026-05-31T01:08:36Z</dcterms:created>
  <dc:creator>Apache POI</dc:creator>
</cp:coreProperties>
</file>