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1.014156.H18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1935/QĐ-UBND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Phê duyệt nhiệm vụ quy hoạch, nhiệm vụ điều chỉnh quy hoạch đô thị và nông thôn do nhà đầu tư đã được lựa  chọn để thực hiện dự án đầu tư tổ chức lập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 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Quy hoạch đô thị và nông thôn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Nhà đầu tư lập hồ sơ nhiệm vụ quy hoạch, nhiệm vụ điều chỉnh quy hoạch đô thị và nông thôn đến cơ quan phê duyệt nhiệm vụ quy hoạch, điều chỉnh nhiệm vụ quy hoạch đô thị và nông thôn.
-	Cấp phê duyệt nhiệm vụ quy hoạch, nhiệm vụ điều chỉnh quy hoạch đô thị và nông thôn căn cứ Tờ trình, kèm theo hồ sơ nhiệm vụ quy hoạch đã được hoàn thiện của Nhà đầu tư lập quy hoạch và văn bản báo cáo thẩm định của cơ quan thẩm định để xem xét, phê duyệt nhiệm vụ quy hoạch, nhiệm vụ điều chỉnh quy hoạch đô thị và nông thôn.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Thành phần hồ sơ theo quy định về hồ sơ trình phê duyệt tại Thông tư số 16/2025/TT-BXD:</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trình đề nghị phê duyệt nhiệm vụ quy hoạch hoặc điều chỉnh nhiệm vụ quy hoạch đô thị và nông thôn.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Báo cáo thẩm định nhiệm vụ quy hoạch hoặc nhiệm vụ điều chỉnh quy hoạch của cơ quan thẩm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Hồ sơ bản giấy gồm: Thuyết minh; Dự thảo Quyết định của cấp có thẩm quyền phê duyệt nhiệm vụ quy hoạch hoặc điều chỉnh nhiệm vụ quy hoạch; Các văn bản, tài liệu liên quan; Bản vẽ.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Hồ sơ điện tử: Cơ sở dữ liệu số cơ bản là các tệp tin (file) bản vẽ và văn bản được in ấn thành một phần của hồ sơ nhiệm vụ quy hoạch bản giấy; Cơ sở dữ liệu số pháp lý bao gồm các tệp tin (file) được số hóa, quét (scan) từ hồ sơ bằng bản giấy hoặc chứng thực điện tử; Cơ sở dữ liệu số địa lý (GIS) quy hoạch đô thị và nông thôn bao gồm các tệp tin (file) được chuyển đổi thành dữ liệu địa lý từ cơ sở dữ liệu gốc.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quan chức năng do Ủy ban nhân dân cấp tỉnh chỉ định, Ủy ban nhân dân cấp xã, Sở Xây dựng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Trung tâm Phục vụ hành chính công tỉnh Điện Biên: Đối với nhiệm vụ quy hoạch, nhiệm vụ điều chỉnh quy hoạch đô thị và nông thôn có phạm vi quy hoạch liên quan đến địa giới đơn vị hành chính của 02 đơn vị hành chính cấp xã trở lên. - Trung tâm Phục vụ hành chính công các xã, phường: đối với nhiệm vụ quy hoạch, nhiệm vụ điều chỉnh quy hoạch đô thị và nông thôn có phạm vi quy hoạch thuộc địa giới hành chính của 01 đơn vị hành chính cấp xã. - Cơ quan, tổ chức do Thủ tướng Chính phủ thành lập được giao quản lý khu chức năng, cơ quan, tổ chức trực thuộc UBND tỉnh được giao quản lý khu chức năng.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phê duyệt nhiệm vụ quy hoạch hoặc nhiệm vụ điều chỉnh quy hoạch đô thị và nông thôn.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47/2024/QH15</w:t>
            </w:r>
          </w:p>
        </w:tc>
        <w:tc>
          <w:p/>
          <w:p>
            <w:pPr>
              <w:spacing w:after="0" w:before="0" w:lineRule="auto" w:line="276"/>
              <w:jc w:val="left"/>
            </w:pPr>
            <w:r>
              <w:rPr>
                <w:rFonts w:ascii="Times New Roman" w:hAnsi="Times New Roman" w:cs="Times New Roman" w:eastAsia="Times New Roman"/>
                <w:b w:val="false"/>
                <w:sz w:val="26"/>
              </w:rPr>
              <w:t>Luật quy hoạch đô thị và nông thôn năm 2024</w:t>
            </w:r>
          </w:p>
        </w:tc>
        <w:tc>
          <w:p/>
          <w:p>
            <w:pPr>
              <w:spacing w:after="0" w:before="0" w:lineRule="auto" w:line="276"/>
              <w:jc w:val="left"/>
            </w:pPr>
            <w:r>
              <w:rPr>
                <w:rFonts w:ascii="Times New Roman" w:hAnsi="Times New Roman" w:cs="Times New Roman" w:eastAsia="Times New Roman"/>
                <w:b w:val="false"/>
                <w:sz w:val="26"/>
              </w:rPr>
              <w:t>26-11-2024</w:t>
            </w:r>
          </w:p>
        </w:tc>
        <w:tc>
          <w:p/>
        </w:tc>
      </w:tr>
      <w:tr>
        <w:tc>
          <w:p/>
          <w:p>
            <w:pPr>
              <w:spacing w:after="0" w:before="0" w:lineRule="auto" w:line="276"/>
              <w:jc w:val="left"/>
            </w:pPr>
            <w:r>
              <w:rPr>
                <w:rFonts w:ascii="Times New Roman" w:hAnsi="Times New Roman" w:cs="Times New Roman" w:eastAsia="Times New Roman"/>
                <w:b w:val="false"/>
                <w:sz w:val="26"/>
              </w:rPr>
              <w:t>145/2025/NĐ-CP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PHÂN QUYỀN, PHÂN CẤP TRONG LĨNH VỰC QUY HOẠCH ĐÔ THỊ VÀ NÔNG THÔN</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178/2025/NĐ-CP</w:t>
            </w:r>
          </w:p>
        </w:tc>
        <w:tc>
          <w:p/>
          <w:p>
            <w:pPr>
              <w:spacing w:after="0" w:before="0" w:lineRule="auto" w:line="276"/>
              <w:jc w:val="left"/>
            </w:pPr>
            <w:r>
              <w:rPr>
                <w:rFonts w:ascii="Times New Roman" w:hAnsi="Times New Roman" w:cs="Times New Roman" w:eastAsia="Times New Roman"/>
                <w:b w:val="false"/>
                <w:sz w:val="26"/>
              </w:rPr>
              <w:t>Quy định chi tiết một số điều của Luật Quy hoạch đô thị và nông thôn.</w:t>
            </w:r>
          </w:p>
        </w:tc>
        <w:tc>
          <w:p/>
          <w:p>
            <w:pPr>
              <w:spacing w:after="0" w:before="0" w:lineRule="auto" w:line="276"/>
              <w:jc w:val="left"/>
            </w:pPr>
            <w:r>
              <w:rPr>
                <w:rFonts w:ascii="Times New Roman" w:hAnsi="Times New Roman" w:cs="Times New Roman" w:eastAsia="Times New Roman"/>
                <w:b w:val="false"/>
                <w:sz w:val="26"/>
              </w:rPr>
              <w:t>01-07-2025</w:t>
            </w:r>
          </w:p>
        </w:tc>
        <w:tc>
          <w:p/>
        </w:tc>
      </w:tr>
      <w:tr>
        <w:tc>
          <w:p/>
          <w:p>
            <w:pPr>
              <w:spacing w:after="0" w:before="0" w:lineRule="auto" w:line="276"/>
              <w:jc w:val="left"/>
            </w:pPr>
            <w:r>
              <w:rPr>
                <w:rFonts w:ascii="Times New Roman" w:hAnsi="Times New Roman" w:cs="Times New Roman" w:eastAsia="Times New Roman"/>
                <w:b w:val="false"/>
                <w:sz w:val="26"/>
              </w:rPr>
              <w:t>16/2025/TT-BXD</w:t>
            </w:r>
          </w:p>
        </w:tc>
        <w:tc>
          <w:p/>
          <w:p>
            <w:pPr>
              <w:spacing w:after="0" w:before="0" w:lineRule="auto" w:line="276"/>
              <w:jc w:val="left"/>
            </w:pPr>
            <w:r>
              <w:rPr>
                <w:rFonts w:ascii="Times New Roman" w:hAnsi="Times New Roman" w:cs="Times New Roman" w:eastAsia="Times New Roman"/>
                <w:b w:val="false"/>
                <w:sz w:val="26"/>
              </w:rPr>
              <w:t>Quy định chi tiết một số điều của Luật Quy hoạch đô thị và nông thôn</w:t>
            </w:r>
          </w:p>
        </w:tc>
        <w:tc>
          <w:p/>
          <w:p>
            <w:pPr>
              <w:spacing w:after="0" w:before="0" w:lineRule="auto" w:line="276"/>
              <w:jc w:val="left"/>
            </w:pPr>
            <w:r>
              <w:rPr>
                <w:rFonts w:ascii="Times New Roman" w:hAnsi="Times New Roman" w:cs="Times New Roman" w:eastAsia="Times New Roman"/>
                <w:b w:val="false"/>
                <w:sz w:val="26"/>
              </w:rPr>
              <w:t>30-06-2025</w:t>
            </w:r>
          </w:p>
        </w:tc>
        <w:tc>
          <w:p/>
        </w:tc>
      </w:tr>
      <w:tr>
        <w:tc>
          <w:p/>
          <w:p>
            <w:pPr>
              <w:spacing w:after="0" w:before="0" w:lineRule="auto" w:line="276"/>
              <w:jc w:val="left"/>
            </w:pPr>
            <w:r>
              <w:rPr>
                <w:rFonts w:ascii="Times New Roman" w:hAnsi="Times New Roman" w:cs="Times New Roman" w:eastAsia="Times New Roman"/>
                <w:b w:val="false"/>
                <w:sz w:val="26"/>
              </w:rPr>
              <w:t>72/2025/QH15</w:t>
            </w:r>
          </w:p>
        </w:tc>
        <w:tc>
          <w:p/>
          <w:p>
            <w:pPr>
              <w:spacing w:after="0" w:before="0" w:lineRule="auto" w:line="276"/>
              <w:jc w:val="left"/>
            </w:pPr>
            <w:r>
              <w:rPr>
                <w:rFonts w:ascii="Times New Roman" w:hAnsi="Times New Roman" w:cs="Times New Roman" w:eastAsia="Times New Roman"/>
                <w:b w:val="false"/>
                <w:sz w:val="26"/>
              </w:rPr>
              <w:t>Luật Tổ chức chính quyền địa phương</w:t>
            </w:r>
          </w:p>
        </w:tc>
        <w:tc>
          <w:p/>
          <w:p>
            <w:pPr>
              <w:spacing w:after="0" w:before="0" w:lineRule="auto" w:line="276"/>
              <w:jc w:val="left"/>
            </w:pPr>
            <w:r>
              <w:rPr>
                <w:rFonts w:ascii="Times New Roman" w:hAnsi="Times New Roman" w:cs="Times New Roman" w:eastAsia="Times New Roman"/>
                <w:b w:val="false"/>
                <w:sz w:val="26"/>
              </w:rPr>
              <w:t>16-06-2025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2026-05-31T01:09:47Z</dcterms:created>
  <dc:creator>Apache POI</dc:creator>
</cp:coreProperties>
</file>