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bổ sung giấy phép trong trường hợp bổ sung thiết bị bức xạ mới so với giấy phép đã được cấp.</w:t>
      </w:r>
    </w:p>
    <w:p>
      <w:pPr>
        <w:spacing w:after="0" w:before="0" w:lineRule="auto" w:line="276"/>
        <w:jc w:val="both"/>
      </w:pPr>
      <w:r>
        <w:rPr>
          <w:rFonts w:ascii="Times New Roman" w:hAnsi="Times New Roman" w:cs="Times New Roman" w:eastAsia="Times New Roman"/>
          <w:b w:val="false"/>
          <w:sz w:val="26"/>
        </w:rPr>
        <w:t>Tổ chức, cá nhân nộp hồ sơ theo trình tự sau: 
Bước 1: Tổ chức, cá nhân có nhu cầu đề nghị bổ sung giấy phép tiến hành công việc bức xạ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nộp hồ sơ đến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đủ hồ sơ hợp lệ theo quy định, UBND cấp tỉnh tổ chức thẩm định hồ sơ và cấp 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bổ sung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theo quy định, UBND cấp tỉnh tổ chức thẩm định hồ sơ và cấp 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bổ sung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theo quy định, UBND cấp tỉnh tổ chức thẩm định hồ sơ và cấp 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bổ sung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theo quy định, UBND cấp tỉnh tổ chức thẩm định hồ sơ và cấp bổ sung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bổ sung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bổ sung giấy phép tiến hành công việc bức xạ (theo mẫu)</w:t>
            </w:r>
          </w:p>
        </w:tc>
        <w:tc>
          <w:p/>
          <w:p>
            <w:pPr>
              <w:spacing w:after="0" w:before="0" w:lineRule="auto" w:line="276"/>
              <w:jc w:val="left"/>
            </w:pPr>
            <w:r>
              <w:rPr>
                <w:rFonts w:ascii="Times New Roman" w:hAnsi="Times New Roman" w:cs="Times New Roman" w:eastAsia="Times New Roman"/>
                <w:b w:val="false"/>
                <w:sz w:val="26"/>
              </w:rPr>
              <w:t>Mus07PhlcIV.docx-nxinsaibsunggiyphp.docx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cần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bức xạ mới đối với trường hợp bổ sung thiết bị bức xạ (theo mẫu); kèm theo bản sao tài liệu của nhà sản xuất cung cấp các thông tin như trong phiếu khai báo;</w:t>
            </w:r>
          </w:p>
        </w:tc>
        <w:tc>
          <w:p/>
          <w:p>
            <w:pPr>
              <w:spacing w:after="0" w:before="0" w:lineRule="auto" w:line="276"/>
              <w:jc w:val="left"/>
            </w:pPr>
            <w:r>
              <w:rPr>
                <w:rFonts w:ascii="Times New Roman" w:hAnsi="Times New Roman" w:cs="Times New Roman" w:eastAsia="Times New Roman"/>
                <w:b w:val="false"/>
                <w:sz w:val="26"/>
              </w:rPr>
              <w:t>Mus08PhlcIII.docx-PhieukhaithietbibucxaphattiaX.docx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đối với công việc bức xạ bổ sung (theo mẫu);</w:t>
            </w:r>
          </w:p>
        </w:tc>
        <w:tc>
          <w:p/>
          <w:p>
            <w:pPr>
              <w:spacing w:after="0" w:before="0" w:lineRule="auto" w:line="276"/>
              <w:jc w:val="left"/>
            </w:pPr>
            <w:r>
              <w:rPr>
                <w:rFonts w:ascii="Times New Roman" w:hAnsi="Times New Roman" w:cs="Times New Roman" w:eastAsia="Times New Roman"/>
                <w:b w:val="false"/>
                <w:sz w:val="26"/>
              </w:rPr>
              <w:t>Mu-Boconhgianton.docx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nhân viên trong trường hợp nhân viên đảm nhiệm công việc bức xạ được bổ sung yêu cầu phải có Chứng chỉ nhân viên bức xạ theo quy định tại khoản 1 Điều 28 của Luật năng lượng nguyên tử (Trường hợp chưa có chứng chỉ, phải nộp hồ sơ đề nghị cấp Chứng chỉ nhân viên bức xạ theo quy định tại Điều 35 của Nghị định 142/2020/NĐ-CP cùng hồ sơ đề nghị bổ sung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2026-05-20T21:13:38Z</dcterms:created>
  <dc:creator>Apache POI</dc:creator>
</cp:coreProperties>
</file>