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1.014105.H42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phép xuất khẩu thuốc phải kiểm soát đặc biệt thuộc hành lý cá nhân của tổ chức, cá nhân xuất cảnh gửi theo vận tải đơn, hàng hóa mang theo người của tổ chức, cá nhân xuất cảnh để điều trị bệnh cho bản thân người xuất cảnh và không phải là nguyên liệu làm thuốc phải kiểm soát đặc biệt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đề nghị cấp phép xuất khẩu nộp hồ sơ trực tiếp hoặc qua dịch vụ bưu chính hoặc trực tuyến về Ủy ban nhân dân cấp tỉnh nơi cửa khẩu làm thủ tục xuất cảnh hoặc nơi người bệnh đang sinh sống, tạm trú hợp pháp hoặc nơi tổ chức đặt trụ sở;
Bước 2: Sau khi nhận được hồ sơ, Ủy ban nhân dân cấp tỉnh trả cho tổ chức, cá nhân đề nghị Phiếu tiếp nhận hồ sơ theo Mẫu số 01 tại Phụ lục I của Nghị định số 163/2025/NĐ-CP;
Bước 3: Trường hợp không có yêu cầu sửa đổi, bổ sung hồ sơ, Ủy ban nhân dân cấp tỉnh cấp phép xuất khẩu trong thời hạn 07 ngày làm việc kể từ ngày ghi trên Phiếu tiếp nhận hồ sơ. Trường hợp có yêu cầu sửa đổi, bổ sung hồ sơ, Ủy ban nhân dân cấp tỉnh có văn bản trả lời theo Mẫu số 16 tại Phụ lục I của Nghị định số 163/2025/NĐ-CP để yêu cầu sửa đổi, bổ sung hồ sơ trong thời hạn 05 ngày làm việc kể từ ngày ghi trên Phiếu tiếp nhận hồ sơ;
Bước 4: Sau khi nhận hồ sơ sửa đổi, bổ sung, Ủy ban nhân dân cấp tỉnh trả tổ chức, cá nhân Phiếu tiếp nhận hồ sơ sửa đổi, bổ sung theo Mẫu số 01 tại Phụ lục I của Nghị định số 163/2025/NĐ-CP. Trường hợp hồ sơ sửa đổi, bổ sung không đáp ứng yêu cầu, Ủy ban nhân dân cấp tỉnh có văn bản trả lời và nêu rõ lý do không cấp phép xuất khẩu theo Mẫu số 16 tại Phụ lục I của Nghị định số 163/2025/NĐ-CP trong thời hạn 05 ngày làm việc kể từ ngày ghi trên Phiếu tiếp nhận hồ sơ. Trường hợp không có yêu cầu sửa đổi, bổ sung đối với hồ sơ sửa đổi, bổ sung, Ủy ban nhân dân cấp tỉnh cấp phép xuất khẩu theo quy định tại bước 3. Trong thời hạn 03 tháng kể từ ngày Ủy ban nhân dân cấp tỉnh có văn bản thông báo sửa đổi, bổ sung, tổ chức, cá nhân đề nghị cấp phép xuất khẩu phải nộp hồ sơ sửa đổi, bổ sung theo yêu cầu. Sau thời hạn trên, tổ chức, cá nhân không nộp hồ sơ sửa đổi, bổ sung thì hồ sơ đã nộp không còn giá trị.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đối với trường hợp không có yêu cầu sửa đổi, bổ sung hồ sơ.
05 ngày làm việc đối với trường hợp yêu cầu sửa đổi, bổ sung hồ sơ hoặc trường hợp không cấp phép xuất khẩu.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đối với trường hợp không có yêu cầu sửa đổi, bổ sung hồ sơ.
05 ngày làm việc đối với trường hợp yêu cầu sửa đổi, bổ sung hồ sơ hoặc trường hợp không cấp phép xuất khẩu.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đối với trường hợp không có yêu cầu sửa đổi, bổ sung hồ sơ.
05 ngày làm việc đối với trường hợp yêu cầu sửa đổi, bổ sung hồ sơ hoặc trường hợp không cấp phép xuất khẩu.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xuất khẩu thuốc</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đơn thuốc, sổ y bạ theo dõi điều trị ngoại trú có chứng thực hoặc có chữ ký của người đề nghị hoặc có đóng dấu của tổ chức đề nghị. Các giấy tờ này phải có đầy đủ các nội dung sau: Tên, tuổi người bệnh; tên thuốc, hàm lượng hoặc nồng độ và dung tích; số lượng thuốc (hoặc số ngày dùng thuốc); liều dùng; họ tên, chữ ký của thầy thuốc; địa chỉ của bệnh viện, phòng khám nơi thầy thuốc hành nghề. Trường hợp bản sao có chữ ký của người đề nghị hoặc đóng dấu của tổ chức đề nghị thì phải kèm xuất trình bản chính để đối chiếu khi nộp hồ sơ. Các giấy tờ này nếu không được thể hiện bằng tiếng Việt hoặc tiếng Anh thì phải nộp thêm bản dịch của tài liệu đó ra tiếng Việt hoặc tiếng Anh và bản dịch được chứng thực chữ ký người dịch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xuất khẩu/Văn bản yêu cầu sửa đổi, bổ sung hồ sơ/Văn bản trả lời không cấp phép xuất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06/2017/TT-BYT</w:t>
            </w:r>
          </w:p>
        </w:tc>
        <w:tc>
          <w:p/>
          <w:p>
            <w:pPr>
              <w:spacing w:after="0" w:before="0" w:lineRule="auto" w:line="276"/>
              <w:jc w:val="left"/>
            </w:pPr>
            <w:r>
              <w:rPr>
                <w:rFonts w:ascii="Times New Roman" w:hAnsi="Times New Roman" w:cs="Times New Roman" w:eastAsia="Times New Roman"/>
                <w:b w:val="false"/>
                <w:sz w:val="26"/>
              </w:rPr>
              <w:t>Thông tư 06/2017/TT-BYT</w:t>
            </w:r>
          </w:p>
        </w:tc>
        <w:tc>
          <w:p/>
          <w:p>
            <w:pPr>
              <w:spacing w:after="0" w:before="0" w:lineRule="auto" w:line="276"/>
              <w:jc w:val="left"/>
            </w:pPr>
            <w:r>
              <w:rPr>
                <w:rFonts w:ascii="Times New Roman" w:hAnsi="Times New Roman" w:cs="Times New Roman" w:eastAsia="Times New Roman"/>
                <w:b w:val="false"/>
                <w:sz w:val="26"/>
              </w:rPr>
              <w:t>03-05-2017</w:t>
            </w:r>
          </w:p>
        </w:tc>
        <w:tc>
          <w:p/>
        </w:tc>
      </w:tr>
      <w:tr>
        <w:tc>
          <w:p/>
          <w:p>
            <w:pPr>
              <w:spacing w:after="0" w:before="0" w:lineRule="auto" w:line="276"/>
              <w:jc w:val="left"/>
            </w:pPr>
            <w:r>
              <w:rPr>
                <w:rFonts w:ascii="Times New Roman" w:hAnsi="Times New Roman" w:cs="Times New Roman" w:eastAsia="Times New Roman"/>
                <w:b w:val="false"/>
                <w:sz w:val="26"/>
              </w:rPr>
              <w:t>27/2024/TT-BYT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20/2017/TT-BYT ngày 10 tháng 5 năm 2017 của Bộ trưởng Bộ Y tế quy định chi tiết một số điều của Luật dược và Nghị định số 54/2017/NĐ-CP ngày 08 tháng 5 năm 2017 của Chính phủ về thuốc và nguyên liệu làm thuốc phải kiểm soát đặc biệt</w:t>
            </w:r>
          </w:p>
        </w:tc>
        <w:tc>
          <w:p/>
          <w:p>
            <w:pPr>
              <w:spacing w:after="0" w:before="0" w:lineRule="auto" w:line="276"/>
              <w:jc w:val="left"/>
            </w:pPr>
            <w:r>
              <w:rPr>
                <w:rFonts w:ascii="Times New Roman" w:hAnsi="Times New Roman" w:cs="Times New Roman" w:eastAsia="Times New Roman"/>
                <w:b w:val="false"/>
                <w:sz w:val="26"/>
              </w:rPr>
              <w:t>01-11-2024</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44/2024/QH15</w:t>
            </w:r>
          </w:p>
        </w:tc>
        <w:tc>
          <w:p/>
          <w:p>
            <w:pPr>
              <w:spacing w:after="0" w:before="0" w:lineRule="auto" w:line="276"/>
              <w:jc w:val="left"/>
            </w:pPr>
            <w:r>
              <w:rPr>
                <w:rFonts w:ascii="Times New Roman" w:hAnsi="Times New Roman" w:cs="Times New Roman" w:eastAsia="Times New Roman"/>
                <w:b w:val="false"/>
                <w:sz w:val="26"/>
              </w:rPr>
              <w:t>Luật số 44/2024/QH15</w:t>
            </w:r>
          </w:p>
        </w:tc>
        <w:tc>
          <w:p/>
          <w:p>
            <w:pPr>
              <w:spacing w:after="0" w:before="0" w:lineRule="auto" w:line="276"/>
              <w:jc w:val="left"/>
            </w:pPr>
            <w:r>
              <w:rPr>
                <w:rFonts w:ascii="Times New Roman" w:hAnsi="Times New Roman" w:cs="Times New Roman" w:eastAsia="Times New Roman"/>
                <w:b w:val="false"/>
                <w:sz w:val="26"/>
              </w:rPr>
              <w:t>21-11-2024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163/2025/NĐ-CP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29-06-2025</w:t>
            </w:r>
          </w:p>
        </w:tc>
        <w:tc>
          <w:p/>
        </w:tc>
      </w:tr>
      <w:tr>
        <w:tc>
          <w:p/>
          <w:p>
            <w:pPr>
              <w:spacing w:after="0" w:before="0" w:lineRule="auto" w:line="276"/>
              <w:jc w:val="left"/>
            </w:pPr>
            <w:r>
              <w:rPr>
                <w:rFonts w:ascii="Times New Roman" w:hAnsi="Times New Roman" w:cs="Times New Roman" w:eastAsia="Times New Roman"/>
                <w:b w:val="false"/>
                <w:sz w:val="26"/>
              </w:rPr>
              <w:t>3235/QĐ-BYT</w:t>
            </w:r>
          </w:p>
        </w:tc>
        <w:tc>
          <w:p/>
          <w:p>
            <w:pPr>
              <w:spacing w:after="0" w:before="0" w:lineRule="auto" w:line="276"/>
              <w:jc w:val="left"/>
            </w:pPr>
            <w:r>
              <w:rPr>
                <w:rFonts w:ascii="Times New Roman" w:hAnsi="Times New Roman" w:cs="Times New Roman" w:eastAsia="Times New Roman"/>
                <w:b w:val="false"/>
                <w:sz w:val="26"/>
              </w:rPr>
              <w:t>Quyết định của Bộ trưởng Bộ Y tế công bố danh mục thuốc, dược chất thuộc danh mục chất bị cấm sử dụng trong một số ngành, lĩnh vực</w:t>
            </w:r>
          </w:p>
        </w:tc>
        <w:tc>
          <w:p/>
          <w:p>
            <w:pPr>
              <w:spacing w:after="0" w:before="0" w:lineRule="auto" w:line="276"/>
              <w:jc w:val="left"/>
            </w:pPr>
            <w:r>
              <w:rPr>
                <w:rFonts w:ascii="Times New Roman" w:hAnsi="Times New Roman" w:cs="Times New Roman" w:eastAsia="Times New Roman"/>
                <w:b w:val="false"/>
                <w:sz w:val="26"/>
              </w:rPr>
              <w:t>01-11-2024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Điều kiện thực hiện thủ tục hành chính (nếu có): 
1. Thuốc phải kiểm soát đặc biệt được xuất khẩu không vì mục đích thương mại phải là thuốc được cấp phép lưu hành tại Việt Nam và thuộc hành lý cá nhân của tổ chức, cá nhân xuất cảnh gửi theo vận tải đơn, hàng hóa mang theo người của tổ chức, cá nhân xuất cảnh để điều trị bệnh cho bản thân người xuất cảnh và không phải là nguyên liệu làm thuốc phải kiểm soát đặc biệt; 
2. Thuốc có số lượng thuốc vượt quá: a) 07 ngày sử dụng đối với thuốc gây nghiện theo liều dùng ghi trong đơn thuốc kèm theo; b) 10 ngày sử dụng đối với thuốc hướng thần, thuốc tiền chất theo liều dùng ghi trong đơn thuốc kèm theo; c) 30 ngày sử dụng đối với thuốc dạng phối hợp có chứa dược chất gây nghiện, thuốc dạng phối hợp có chứa dược chất hướng thần, thuốc dạng phối hợp có chứa tiền chất, thuốc độc, thuốc trong danh mục thuốc, dược chất thuộc danh mục chất bị cấm sử dụng trong một số ngành, lĩnh vực theo liều dùng ghi trong đơn thuốc kèm theo. 
3. Đơn vị đề nghị là cá nhân người xuất cảnh hoặc tổ chức xuất cảnh.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2026-04-29T01:41:53Z</dcterms:created>
  <dc:creator>Apache POI</dc:creator>
</cp:coreProperties>
</file>