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1.000450.H18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không ưu đãi mẫu B</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 Ký cấp phép C/O và trả kết quả C/O dưới dạng bản pdf cho thương nhân trên hệ thống eCoSys (không cần thực hiện Bước 5 và Bước 6); hoặc
- Ký cấp tay C/O giấy (tiếp tục thực hiện Bước 5 và Bước 6).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Comis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Comis;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B đã được khai hoàn chỉnh (Phụ lục XI ban hành kèm theo Thông tư số 05/2018/TT-BCT ngày 03/4/2018 của Bộ Công Thương quy định về xuất xứ hàng hóa) và Mẫu Tờ khai bổ sung C/O (nếu có) (Phụ lục XII ban hành kèm theo Thông tư số 05/2018/TT-BCT);</w:t>
            </w:r>
          </w:p>
        </w:tc>
        <w:tc>
          <w:p/>
          <w:p>
            <w:pPr>
              <w:spacing w:after="0" w:before="0" w:lineRule="auto" w:line="276"/>
              <w:jc w:val="left"/>
            </w:pPr>
            <w:r>
              <w:rPr>
                <w:rFonts w:ascii="Times New Roman" w:hAnsi="Times New Roman" w:cs="Times New Roman" w:eastAsia="Times New Roman"/>
                <w:b w:val="false"/>
                <w:sz w:val="26"/>
              </w:rPr>
              <w:t>PL XI, PL XII.docx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Các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hóa (C/O) không ưu đãi Mẫu B</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23/2025/TT-BCT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05/2018/TT-BCT ngày 03 tháng 4 năm 2018 của Bộ trưởng Bộ Công Thương quy định về xuất xứ hàng hóa và Thông tư số 38/2018/TT-BCT ngày 30 tháng 10 năm 2018 của Bộ trưởng Bộ Công Thương quy định thực hiện chứng nhận xuất xứ hàng hoá theo chế độ thuế quan phổ cập của Liên minh châu Âu, Na Uy, Thụy Sỹ và Thổ Nhĩ Kỳ</w:t>
            </w:r>
          </w:p>
        </w:tc>
        <w:tc>
          <w:p/>
          <w:p>
            <w:pPr>
              <w:spacing w:after="0" w:before="0" w:lineRule="auto" w:line="276"/>
              <w:jc w:val="left"/>
            </w:pPr>
            <w:r>
              <w:rPr>
                <w:rFonts w:ascii="Times New Roman" w:hAnsi="Times New Roman" w:cs="Times New Roman" w:eastAsia="Times New Roman"/>
                <w:b w:val="false"/>
                <w:sz w:val="26"/>
              </w:rPr>
              <w:t>05-05-2025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2026-05-31T01:11:44Z</dcterms:created>
  <dc:creator>Apache POI</dc:creator>
</cp:coreProperties>
</file>