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2.000303.H18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Xuất nhập khẩu Cấp Giấy chứng nhận xuất xứ hàng hoá (C/O) ưu đãi mẫu 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AI (Phụ lục 5 ban hành kèm theo Thông tư số 15/2010/TT-BCT ngày 15/4/2010);</w:t>
            </w:r>
          </w:p>
        </w:tc>
        <w:tc>
          <w:p/>
          <w:p>
            <w:pPr>
              <w:spacing w:after="0" w:before="0" w:lineRule="auto" w:line="276"/>
              <w:jc w:val="left"/>
            </w:pPr>
            <w:r>
              <w:rPr>
                <w:rFonts w:ascii="Times New Roman" w:hAnsi="Times New Roman" w:cs="Times New Roman" w:eastAsia="Times New Roman"/>
                <w:b w:val="false"/>
                <w:sz w:val="26"/>
              </w:rPr>
              <w:t>PL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	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15/2010/TT-BCT</w:t>
            </w:r>
          </w:p>
        </w:tc>
        <w:tc>
          <w:p/>
          <w:p>
            <w:pPr>
              <w:spacing w:after="0" w:before="0" w:lineRule="auto" w:line="276"/>
              <w:jc w:val="left"/>
            </w:pPr>
            <w:r>
              <w:rPr>
                <w:rFonts w:ascii="Times New Roman" w:hAnsi="Times New Roman" w:cs="Times New Roman" w:eastAsia="Times New Roman"/>
                <w:b w:val="false"/>
                <w:sz w:val="26"/>
              </w:rPr>
              <w:t>Về việc Thực hiện Quy tắc xuất xứ trong Hiệp định thương mại hàng hóa ASEAN- Ấn Độ</w:t>
            </w:r>
          </w:p>
        </w:tc>
        <w:tc>
          <w:p/>
          <w:p>
            <w:pPr>
              <w:spacing w:after="0" w:before="0" w:lineRule="auto" w:line="276"/>
              <w:jc w:val="left"/>
            </w:pPr>
            <w:r>
              <w:rPr>
                <w:rFonts w:ascii="Times New Roman" w:hAnsi="Times New Roman" w:cs="Times New Roman" w:eastAsia="Times New Roman"/>
                <w:b w:val="false"/>
                <w:sz w:val="26"/>
              </w:rPr>
              <w:t>15-04-2010</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2026-05-31T01:07:19Z</dcterms:created>
  <dc:creator>Apache POI</dc:creator>
</cp:coreProperties>
</file>