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2.002803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11153/QĐ-NHCS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kỳ hạn trả nợ đối với người lao động vay vốn đi làm việc ở nước ngoài theo hợp đồng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vay hoặc người được ủy quyền:
Lập Giấy đề nghị điều chỉnh kỳ hạn trả nợ (Mẫu số 08/LĐNN) gửi NHCSXH nơi thực hiện thủ tục.</w:t>
      </w:r>
    </w:p>
    <w:p>
      <w:pPr>
        <w:spacing w:after="0" w:before="0" w:lineRule="auto" w:line="276"/>
        <w:jc w:val="both"/>
      </w:pPr>
      <w:r>
        <w:rPr>
          <w:rFonts w:ascii="Times New Roman" w:hAnsi="Times New Roman" w:cs="Times New Roman" w:eastAsia="Times New Roman"/>
          <w:b w:val="false"/>
          <w:sz w:val="26"/>
        </w:rPr>
        <w:t>Bước 2. NHCSXH nơi thực hiện thủ tục:
Kiểm tra, trình Giám đốc NHCSXH nơi thực hiện thủ tục phê duyệt:
- Nếu được điều chỉnh kỳ hạn trả nợ: phê duyệt trên Giấy đề nghị điều chỉnh kỳ hạn trả nợ (Mẫu số 08/LĐNN);
- Nếu không được điều chỉnh kỳ hạn nợ, NHCSXH nơi thực hiện thủ tục thực hiện chuyển nợ quá hạn kỳ đó và gửi cho người vay hoặc người được ủy quyền Thông báo chuyển nợ quá hạn (Mẫu số 11/LĐNN).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vay hoặc người được ủy quyền nộp hồ sơ điều chỉnh kỳ hạn trả nợ trực tiếp tại NHCSXH nơi thực hiện thủ tục.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điều chỉnh kỳ hạn trả nợ (Mẫu số 08/LĐNN): 01 bản chính (Lưu NHCSXH nơi thực hiện thủ tục).</w:t>
            </w:r>
          </w:p>
        </w:tc>
        <w:tc>
          <w:p/>
          <w:p>
            <w:pPr>
              <w:spacing w:after="0" w:before="0" w:lineRule="auto" w:line="276"/>
              <w:jc w:val="left"/>
            </w:pPr>
            <w:r>
              <w:rPr>
                <w:rFonts w:ascii="Times New Roman" w:hAnsi="Times New Roman" w:cs="Times New Roman" w:eastAsia="Times New Roman"/>
                <w:b w:val="false"/>
                <w:sz w:val="26"/>
              </w:rPr>
              <w:t>08.LNNiuchnhkhn-7886-2019.doc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đề nghị điều chỉnh kỳ hạn trả nợ (Mẫu số 08/LĐNN)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24-11-2015</w:t>
            </w:r>
          </w:p>
        </w:tc>
        <w:tc>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38/2013/QH13 -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61/2015/NĐ-CP</w:t>
            </w:r>
          </w:p>
        </w:tc>
        <w:tc>
          <w:p/>
          <w:p>
            <w:pPr>
              <w:spacing w:after="0" w:before="0" w:lineRule="auto" w:line="276"/>
              <w:jc w:val="left"/>
            </w:pPr>
            <w:r>
              <w:rPr>
                <w:rFonts w:ascii="Times New Roman" w:hAnsi="Times New Roman" w:cs="Times New Roman" w:eastAsia="Times New Roman"/>
                <w:b w:val="false"/>
                <w:sz w:val="26"/>
              </w:rPr>
              <w:t>Nghị định 61/2015/NĐ-CP</w:t>
            </w:r>
          </w:p>
        </w:tc>
        <w:tc>
          <w:p/>
          <w:p>
            <w:pPr>
              <w:spacing w:after="0" w:before="0" w:lineRule="auto" w:line="276"/>
              <w:jc w:val="left"/>
            </w:pPr>
            <w:r>
              <w:rPr>
                <w:rFonts w:ascii="Times New Roman" w:hAnsi="Times New Roman" w:cs="Times New Roman" w:eastAsia="Times New Roman"/>
                <w:b w:val="false"/>
                <w:sz w:val="26"/>
              </w:rPr>
              <w:t>09-07-2015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72/2006/QH11</w:t>
            </w:r>
          </w:p>
        </w:tc>
        <w:tc>
          <w:p/>
          <w:p>
            <w:pPr>
              <w:spacing w:after="0" w:before="0" w:lineRule="auto" w:line="276"/>
              <w:jc w:val="left"/>
            </w:pPr>
            <w:r>
              <w:rPr>
                <w:rFonts w:ascii="Times New Roman" w:hAnsi="Times New Roman" w:cs="Times New Roman" w:eastAsia="Times New Roman"/>
                <w:b w:val="false"/>
                <w:sz w:val="26"/>
              </w:rPr>
              <w:t>Luật 72/2006/QH11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78/2002/NĐ-CP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7886/NHCS-TDNN</w:t>
            </w:r>
          </w:p>
        </w:tc>
        <w:tc>
          <w:p/>
          <w:p>
            <w:pPr>
              <w:spacing w:after="0" w:before="0" w:lineRule="auto" w:line="276"/>
              <w:jc w:val="left"/>
            </w:pPr>
            <w:r>
              <w:rPr>
                <w:rFonts w:ascii="Times New Roman" w:hAnsi="Times New Roman" w:cs="Times New Roman" w:eastAsia="Times New Roman"/>
                <w:b w:val="false"/>
                <w:sz w:val="26"/>
              </w:rPr>
              <w:t>Văn bản số 7886/NHCS-TDNN ngày 24/10/2019 của Tổng Giám đốc NHCSXH hướng dẫn nghiệp vụ cho vay đối với lao động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24-10-2019</w:t>
            </w:r>
          </w:p>
        </w:tc>
        <w:tc>
          <w:p/>
        </w:tc>
      </w:tr>
      <w:tr>
        <w:tc>
          <w:p/>
          <w:p>
            <w:pPr>
              <w:spacing w:after="0" w:before="0" w:lineRule="auto" w:line="276"/>
              <w:jc w:val="left"/>
            </w:pPr>
            <w:r>
              <w:rPr>
                <w:rFonts w:ascii="Times New Roman" w:hAnsi="Times New Roman" w:cs="Times New Roman" w:eastAsia="Times New Roman"/>
                <w:b w:val="false"/>
                <w:sz w:val="26"/>
              </w:rPr>
              <w:t>63/2015/QĐ-TTg</w:t>
            </w:r>
          </w:p>
        </w:tc>
        <w:tc>
          <w:p/>
          <w:p>
            <w:pPr>
              <w:spacing w:after="0" w:before="0" w:lineRule="auto" w:line="276"/>
              <w:jc w:val="left"/>
            </w:pPr>
            <w:r>
              <w:rPr>
                <w:rFonts w:ascii="Times New Roman" w:hAnsi="Times New Roman" w:cs="Times New Roman" w:eastAsia="Times New Roman"/>
                <w:b w:val="false"/>
                <w:sz w:val="26"/>
              </w:rPr>
              <w:t>Quyết định 63/2015/QĐ-TTg</w:t>
            </w:r>
          </w:p>
        </w:tc>
        <w:tc>
          <w:p/>
          <w:p>
            <w:pPr>
              <w:spacing w:after="0" w:before="0" w:lineRule="auto" w:line="276"/>
              <w:jc w:val="left"/>
            </w:pPr>
            <w:r>
              <w:rPr>
                <w:rFonts w:ascii="Times New Roman" w:hAnsi="Times New Roman" w:cs="Times New Roman" w:eastAsia="Times New Roman"/>
                <w:b w:val="false"/>
                <w:sz w:val="26"/>
              </w:rPr>
              <w:t>10-12-2015</w:t>
            </w:r>
          </w:p>
        </w:tc>
        <w:tc>
          <w:p/>
        </w:tc>
      </w:tr>
      <w:tr>
        <w:tc>
          <w:p/>
          <w:p>
            <w:pPr>
              <w:spacing w:after="0" w:before="0" w:lineRule="auto" w:line="276"/>
              <w:jc w:val="left"/>
            </w:pPr>
            <w:r>
              <w:rPr>
                <w:rFonts w:ascii="Times New Roman" w:hAnsi="Times New Roman" w:cs="Times New Roman" w:eastAsia="Times New Roman"/>
                <w:b w:val="false"/>
                <w:sz w:val="26"/>
              </w:rPr>
              <w:t>74/2019/NĐ-CP</w:t>
            </w:r>
          </w:p>
        </w:tc>
        <w:tc>
          <w:p/>
          <w:p>
            <w:pPr>
              <w:spacing w:after="0" w:before="0" w:lineRule="auto" w:line="276"/>
              <w:jc w:val="left"/>
            </w:pPr>
            <w:r>
              <w:rPr>
                <w:rFonts w:ascii="Times New Roman" w:hAnsi="Times New Roman" w:cs="Times New Roman" w:eastAsia="Times New Roman"/>
                <w:b w:val="false"/>
                <w:sz w:val="26"/>
              </w:rPr>
              <w:t>Nghị định của Chính phủ về sửa đổi, bổ sung một số điều của Nghị định số 61/2015/NĐ-CP ngày 09/7/2015 của Chính phủ quy định về chính sách hỗ trợ tạo việc làm và Quỹ quốc gia về việc làm;</w:t>
            </w:r>
          </w:p>
        </w:tc>
        <w:tc>
          <w:p/>
          <w:p>
            <w:pPr>
              <w:spacing w:after="0" w:before="0" w:lineRule="auto" w:line="276"/>
              <w:jc w:val="left"/>
            </w:pPr>
            <w:r>
              <w:rPr>
                <w:rFonts w:ascii="Times New Roman" w:hAnsi="Times New Roman" w:cs="Times New Roman" w:eastAsia="Times New Roman"/>
                <w:b w:val="false"/>
                <w:sz w:val="26"/>
              </w:rPr>
              <w:t>23-09-2019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năng lực hành vi dân sự đầy đủ;
- Cư trú hợp pháp tại địa phương; 
- Đã vay vốn NHCSXH nơi thực hiện thủ tục để đi làm việc ở nước ngoài theo hợp đồng, đã ký kết hợp đồng với Doanh nghiệp đưa người lao động đi làm việc ở nước ngoài;
 - Người vay không trả được nợ do nguyên nhân khách quan và có nhu cầu xin điều chỉnh kỳ hạn trả nợ;
- Hồ sơ điều chỉnh kỳ hạn trả nợ phải gửi đến NHCSXH nơi thực hiện thủ tục trước 05 ngày đến hạn theo từng kỳ trả nợ.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2026-05-09T15:31:00Z</dcterms:created>
  <dc:creator>Apache POI</dc:creator>
</cp:coreProperties>
</file>