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nhận chuẩn đo lường dùng trực tiếp để kiểm định phương tiện đo nhóm 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chứng nhận chuẩn đo lường lập 01 (một) bộ hồ sơ đề nghị chứng nhận chuẩn đo lường theo quy định gửi đến Trung tâm Phục vụ hành chính công tỉnh Điện Biên
Bước 2: Ủy ban nhân dân cấp tỉnh chịu trách nhiệm tiếp nhận hồ sơ, xem xét, thẩm định theo quy định. 
- Trường hợp hồ sơ đầy đủ và hợp lệ, trong thời hạn 10 (mười) ngày kể từ ngày nhận được hồ sơ, Ủy ban nhân dân cấp tỉnh chịu trách nhiệm cấp quyết định chứng nhận chuẩn đo lường. 
- Trường hợp hồ sơ chưa đầy đủ, hợp lệ, trong thời hạn 07 (bảy) ngày làm việc kể từ ngày nhận hồ sơ, Ủy ban nhân dân cấp tỉnh thông báo bằng văn bản cho tổ chức đề nghị những nội dung cần bổ sung, hoàn chỉnh.
Sau thời hạn 03 (ba) tháng kể từ ngày Ủy ban nhân dân cấp tỉnh gửi thông báo, nếu tổ chức đề nghị không bổ sung đủ hồ sơ hợp lệ, Ủy ban nhân dân cấp tỉnh có quyền hủy bỏ việc xử lý đối với hồ sơ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nghị chứng nhận chuẩn đo lường (theo Mẫu số 01 Phụ lục ban hành kèm theo Thông tư số 07/2025/TT-BKHCN)</w:t>
            </w:r>
          </w:p>
        </w:tc>
        <w:tc>
          <w:p/>
          <w:p>
            <w:pPr>
              <w:spacing w:after="0" w:before="0" w:lineRule="auto" w:line="276"/>
              <w:jc w:val="left"/>
            </w:pPr>
            <w:r>
              <w:rPr>
                <w:rFonts w:ascii="Times New Roman" w:hAnsi="Times New Roman" w:cs="Times New Roman" w:eastAsia="Times New Roman"/>
                <w:b w:val="false"/>
                <w:sz w:val="26"/>
              </w:rPr>
              <w:t>Denghichungnhanchuandoluong.docx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xác nhận sao y bản chính của tổ chức đề nghị) giấy chứng nhận hiệu chuẩn còn thời hạn có giá trị của chuẩn công tác hoặc giấy chứng nhận kết quả thử nghiệm hoặc so sánh (Certificate of analysis) còn thời hạn có giá trị của chất chuẩn. Chuẩn công tác, chất chuẩn phải đáp ứng các yêu cầu tại văn bản kỹ thuật đo lường Việt Nam tương ứng, phải được hiệu chuẩn, thử nghiệm hoặc so sánh tại tổ chức hiệu chuẩn, thử nghiệm tại Việt Nam có lĩnh vực hoạt động phù hợp được chỉ định hoặc tại tổ chức kiểm định, hiệu chuẩn, thử nghiệm ở nước ngoài có lĩnh vực hoạt động phù hợp được công nhận hoặc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chụp của chuẩn đo lường bao gồm 01 (một) ảnh tổng thể và 01 (một) ảnh nhãn mác. Ảnh màu cỡ (15 x 20) cm, phải bảo đảm sắc nét, rõ ràng (đối với trường hợp lần đầu tiên đề nghị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chứng nhận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86/2012/NĐ-CP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Đo lường</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105/2016/NĐ-CP</w:t>
            </w:r>
          </w:p>
        </w:tc>
        <w:tc>
          <w:p/>
          <w:p>
            <w:pPr>
              <w:spacing w:after="0" w:before="0" w:lineRule="auto" w:line="276"/>
              <w:jc w:val="left"/>
            </w:pPr>
            <w:r>
              <w:rPr>
                <w:rFonts w:ascii="Times New Roman" w:hAnsi="Times New Roman" w:cs="Times New Roman" w:eastAsia="Times New Roman"/>
                <w:b w:val="false"/>
                <w:sz w:val="26"/>
              </w:rPr>
              <w:t>Nghị định 105/2016/NĐ-CP-Quy định về điều kiện hoạt động của tổ chức kiểm định, hiệu chuẩn, thử nghiệm phương tiện đo, chuẩn đo lường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04/2011/QH13 </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01-07-2012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Chuẩn công tác và chất chuẩn phải được hiệu chuẩn, thử nghiệm hoặc so sánh tại tổ chức hiệu chuẩn, thử nghiệm tại Việt Nam có lĩnh vực hoạt động phù hợp được chỉ định hoặc tại tổ chức kiểm định, hiệu chuẩn, thử nghiệm ở nước ngoài có lĩnh vực hoạt động phù hợp được công nhận hoặc chỉ định.
- Chuẩn công tác và chất chuẩn phải đáp ứng các yêu cầu tại văn bản kỹ thuật đo lường Việt Nam tương ứng.
- Giấy chứng nhận hiệu chuẩn của chuẩn công tác hoặc giấy chứng nhận kết quả thử nghiệm hoặc so sánh (Certificate of analysis) của chất chuẩn phải còn thời hạn có giá trị.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2026-05-28T17:28:22Z</dcterms:created>
  <dc:creator>Apache POI</dc:creator>
</cp:coreProperties>
</file>