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giảng đạo ngoài địa bàn phụ trách, cơ sở tôn giáo, địa điểm hợp pháp đã đăng ký có quy mô tổ chức ở một xã, chức sắc, chức việc, nhà tu hành có trách nhiệm gửi văn bản đề nghị đến Ủy ban nhân dân cấp xã.
- Bước 2: Ủy ban nhân dân cấp xã xem xét văn bản đề nghị, trường hợp hồ sơ đề nghị chưa đầy đủ, hợp lệ, Ủy ban nhân dân cấp xã hướng dẫn trực tiếp hoặc thông báo qua thư điện tử, tin nhắn điện thoại hoặc văn bản cho chức sắc, chức việc, nhà tu hành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hồ sơ, Ủy ban nhân dân cấp xã chấp thuận hoặc không chấp thuận về việc giảng đạo ngoài địa bàn phụ trách, cơ sở tôn giáo, địa điểm hợp pháp đã đăng ký và gửi kết quả giải quyết về Bộ phận Tiếp nhận và trả kết quả của Ủy ban nhân dân cấp xã để trả cho chức sắc, chức việc, nhà tu hành.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chức đại hội; dự kiến thành phần, số lượng người tham dự;  + Báo cáo tổng kết hoạt động của tổ chức; + Dự thảo hiến chương hoặc hiến chương sửa đổi (nếu có).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về việc tổ chức đại hội (Mẫu B33 Phụ lục ban hành kèm theo Nghị định số 95/2023/NĐ-CP ngày 29/12/2023 của Chính phủ, được sửa đổi tại Phụ lục II ban hành kèm theo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r>
        <w:tc>
          <w:p/>
          <w:p>
            <w:pPr>
              <w:spacing w:after="0" w:before="0" w:lineRule="auto" w:line="276"/>
              <w:jc w:val="left"/>
            </w:pPr>
            <w:r>
              <w:rPr>
                <w:rFonts w:ascii="Times New Roman" w:hAnsi="Times New Roman" w:cs="Times New Roman" w:eastAsia="Times New Roman"/>
                <w:b w:val="false"/>
                <w:sz w:val="26"/>
              </w:rPr>
              <w:t>483/QĐ-UBND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thuộc lĩnh vực Công tác dân tộc và Tín ngưỡng, tôn giáo thuộc thẩm quyền giải quyết của UBND tỉnh, Sở Dân tộc và Tôn giáo,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2026-05-04T08:27:15Z</dcterms:created>
  <dc:creator>Apache POI</dc:creator>
</cp:coreProperties>
</file>