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1.007929.H18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phân bón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01 bộ hồ sơ đề nghị cấp Giấy phép nhập khẩu phân bón đến Trung tâm Phục vụ hành chính công tỉnh Điện Biên; Trung tâm Phục vụ hành chính công cấp xã bằng hình thức trực tiếp hoặc môi trường mạng hoặc qua dịch vụ bưu chính;
Bước 2: Cơ quan được Chủ tịch Ủy ban nhân dân cấp tỉnh giao tiếp nhận hồ sơ giải quyết thủ tục hành chính trả lời ngay tính đầy đủ của hồ sơ đối với trường hợp nộp trực tiếp; trả lời bằng văn bản tính đầy đủ của hồ sơ trong 01 ngày làm việc đối với trường hợp nộp hồ sơ qua môi trường mạng hoặc qua dịch vụ bưu chính;
Bước 3: Trong thời hạn 07 ngày làm việc, kể từ ngày nhận đủ hồ sơ hợp lệ, cơ quan được Chủ tịch Ủy ban nhân dân cấp tỉnh giao giải quyết thủ tục hành chính tổ chức thẩm định, trình Chủ tịch Ủy ban nhân dân cấp tỉnh xem xét, quyết định cấp Giấy phép nhập khẩu phân bón theo Mẫu số 35 Phụ lục II ban hành kèm theo Thông tư số 07/2026/TT-BNNMT; trường hợp không cấp,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bằng hình thức trực tiếp hoặc môi trường mạng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bằng hình thức trực tiếp hoặc môi trường mạng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bằng hình thức trực tiếp hoặc môi trường mạng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nhập khẩu phân bón theo Mẫu số 33 Phụ lục II ban hành kèm theo Thông tư số 07/2026/TT-BNNMT)</w:t>
            </w:r>
          </w:p>
        </w:tc>
        <w:tc>
          <w:p/>
          <w:p>
            <w:pPr>
              <w:spacing w:after="0" w:before="0" w:lineRule="auto" w:line="276"/>
              <w:jc w:val="left"/>
            </w:pPr>
            <w:r>
              <w:rPr>
                <w:rFonts w:ascii="Times New Roman" w:hAnsi="Times New Roman" w:cs="Times New Roman" w:eastAsia="Times New Roman"/>
                <w:b w:val="false"/>
                <w:sz w:val="26"/>
              </w:rPr>
              <w:t>Mus33-PhlcII.docx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kỹ thuật theo Mẫu số 34 Phụ lục II ban hành kèm theo Thông tư số 07/2026/TT-BNNMT</w:t>
            </w:r>
          </w:p>
        </w:tc>
        <w:tc>
          <w:p/>
          <w:p>
            <w:pPr>
              <w:spacing w:after="0" w:before="0" w:lineRule="auto" w:line="276"/>
              <w:jc w:val="left"/>
            </w:pPr>
            <w:r>
              <w:rPr>
                <w:rFonts w:ascii="Times New Roman" w:hAnsi="Times New Roman" w:cs="Times New Roman" w:eastAsia="Times New Roman"/>
                <w:b w:val="false"/>
                <w:sz w:val="26"/>
              </w:rPr>
              <w:t>Mus34-PhlcII.docx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nhà sản xuất về chỉ tiêu chất lượng, hướng dẫn sử dụng, cảnh báo an toàn và yếu tố hạn chế trong phân bón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lưu hành tự do (CFS) tại nước xuất khẩu (Trường hợp nhập khẩu phân bón theo quy định tại điểm a, b, c, d, đ, e, g khoản 2 Điều 44 Luật Trồng trọt)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hoặc Giấy mời tham gia hội chợ, triển lãm tại Việt Nam (Trường hợp nhập khẩu phân bón theo quy định tại điểm đ khoản 2 Điều 44 Luật Trồng trọt)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cương nghiên cứu về phân bón đề nghị nhập khẩu (Trường hợp nhập khẩu phân bón theo quy định tại điểm e khoản 2 Điều 44 Luật Trồng trọt)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là bản bằng tiếng nước ngoài phải có bản dịch ra tiếng Việt có xác nhận của cơ quan dịch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phân bón (theo Mẫu số 35 Phụ lục II ban hành kèm theo Thông tư số 07/2026/TT-BNNMT)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31/2018/QH14</w:t>
            </w:r>
          </w:p>
        </w:tc>
        <w:tc>
          <w:p/>
          <w:p>
            <w:pPr>
              <w:spacing w:after="0" w:before="0" w:lineRule="auto" w:line="276"/>
              <w:jc w:val="left"/>
            </w:pPr>
            <w:r>
              <w:rPr>
                <w:rFonts w:ascii="Times New Roman" w:hAnsi="Times New Roman" w:cs="Times New Roman" w:eastAsia="Times New Roman"/>
                <w:b w:val="false"/>
                <w:sz w:val="26"/>
              </w:rPr>
              <w:t>Luật trồng trọt</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12/2025/TT-BNNMT</w:t>
            </w:r>
          </w:p>
        </w:tc>
        <w:tc>
          <w:p/>
          <w:p>
            <w:pPr>
              <w:spacing w:after="0" w:before="0" w:lineRule="auto" w:line="276"/>
              <w:jc w:val="left"/>
            </w:pPr>
            <w:r>
              <w:rPr>
                <w:rFonts w:ascii="Times New Roman" w:hAnsi="Times New Roman" w:cs="Times New Roman" w:eastAsia="Times New Roman"/>
                <w:b w:val="false"/>
                <w:sz w:val="26"/>
              </w:rPr>
              <w:t>12/2025/TT-BNNMT</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2026-05-30T17:28:28Z</dcterms:created>
  <dc:creator>Apache POI</dc:creator>
</cp:coreProperties>
</file>