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2.002789.H48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1295/QĐ-UBND(CT)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sử dụng tần số và thiết bị vô tuyến điện đối với mạng thông tin vô tuyến điện nội bộ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Trước khi hết hạn ít nhất 30 ngày và tổng thời hạn cấp lần đầu và các lần gia hạn giấy phép không vượt quá 10 năm, tổ chức, cá nhân hoàn thiện hồ sơ đề nghị gia hạn giấy phép sử dụng tần số và thiết bị vô tuyến điện đối với mạng thông tin vô tuyến điện nội bộ theo quy định tại khoản 1 Mục XI Phụ lục II ban hành kèm theo Nghị định số 133/2025/NĐ-CP và nộp hồ sơ đến Ủy ban nhân dân cấp tỉnh.
- Ủy ban nhân dân cấp tỉnh tiếp nhận, kiểm tra tính hợp lệ của hồ sơ. 
+ Trường hợp hồ sơ chưa đầy đủ, chưa đúng quy định thì trong thời hạn 05 ngày làm việc kể từ ngày nhận được hồ sơ, Ủy ban nhân dân cấp tỉnh có trách nhiệm thông báo, hướng dẫn cho tổ chức, cá nhân để bổ sung, hoàn thiện hồ sơ.
+ Trường hợp hồ sơ đầy đủ, đúng quy định, Ủy ban nhân dân cấp tỉnh gia hạn giấy phép sử dụng tần số và thiết bị vô tuyến điện đối với mạng thông tin vô tuyến điện nội bộ hoặc từ chối gia hạn giấy phép và nêu rõ lý do trong thời hạn 07 ngày kể từ ngày nhận được hồ sơ đầy đủ,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Đồng</w:t>
              <w:t xml:space="preserve"> (Thông tư số 265/2016/TT-BTC ngày 14 tháng 11 năm 2016 của Bộ trưởng Bộ Tài chính quy định mức thu, chế độ thu, nộp, quản lý và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Trung tâm Phục vụ hành chính công tỉnh Quảng Ngãi; địa chỉ số 54 đường Hùng Vương, phường Cẩm Thành; điểm tiếp nhận hồ sơ thứ 02 tại số 492 đường Trần Phú, phường Kon Tum, tỉnh Quảng Ngãi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Đồng</w:t>
              <w:t xml:space="preserve"> (Thông tư số 265/2016/TT-BTC ngày 14 tháng 11 năm 2016 của Bộ trưởng Bộ Tài chính quy định mức thu, chế độ thu, nộp, quản lý và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Đồng</w:t>
              <w:t xml:space="preserve"> (Thông tư số 265/2016/TT-BTC ngày 14 tháng 11 năm 2016 của Bộ trưởng Bộ Tài chính quy định mức thu, chế độ thu, nộp, quản lý và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thông tin chung và bản khai đề nghị cấp đổi, gia hạn giấy phép sử dụng tần số và thiết bị vô tuyến điện theo mẫu quy định tại khoản 1 và khoản 6 Phụ lục II.4 ban hành kèm theo Nghị định số 133/2025/NĐ-CP được sửa đổi,  bổ sung bởi Nghị định số 15/2026/NĐ-CP.</w:t>
            </w:r>
          </w:p>
        </w:tc>
        <w:tc>
          <w:p/>
          <w:p>
            <w:pPr>
              <w:spacing w:after="0" w:before="0" w:lineRule="auto" w:line="276"/>
              <w:jc w:val="left"/>
            </w:pPr>
            <w:r>
              <w:rPr>
                <w:rFonts w:ascii="Times New Roman" w:hAnsi="Times New Roman" w:cs="Times New Roman" w:eastAsia="Times New Roman"/>
                <w:b w:val="false"/>
                <w:sz w:val="26"/>
              </w:rPr>
              <w:t>BKcapdoigiahan_ND133.doc</w:t>
            </w:r>
          </w:p>
          <w:p>
            <w:pPr>
              <w:spacing w:after="0" w:before="0" w:lineRule="auto" w:line="276"/>
              <w:jc w:val="left"/>
            </w:pPr>
            <w:r>
              <w:rPr>
                <w:rFonts w:ascii="Times New Roman" w:hAnsi="Times New Roman" w:cs="Times New Roman" w:eastAsia="Times New Roman"/>
                <w:b w:val="false"/>
                <w:sz w:val="26"/>
              </w:rPr>
              <w:t>maubankhaithongtinchung.docx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tỉnh Quảng Ngãi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Ngãi; địa chỉ số 54 đường Hùng Vương, phường Cẩm Thành, điểm tiếp nhận hồ sơ thứ 02 địa chỉ số 492 đường Trần Phú, phường Kon Tum, tỉnh Quảng Ngãi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 (Mẫu 1h quy định tại khoản 7 Phụ lục II.4 ban hành kèm theo Nghị định số 133/2025/NĐ-CP)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265/2016/TT-BTC	</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44/2023/TT-BTC</w:t>
            </w:r>
          </w:p>
        </w:tc>
        <w:tc>
          <w:p/>
          <w:p>
            <w:pPr>
              <w:spacing w:after="0" w:before="0" w:lineRule="auto" w:line="276"/>
              <w:jc w:val="left"/>
            </w:pPr>
            <w:r>
              <w:rPr>
                <w:rFonts w:ascii="Times New Roman" w:hAnsi="Times New Roman" w:cs="Times New Roman" w:eastAsia="Times New Roman"/>
                <w:b w:val="false"/>
                <w:sz w:val="26"/>
              </w:rPr>
              <w:t>Thông tư 44/2023/TT-BTC</w:t>
            </w:r>
          </w:p>
        </w:tc>
        <w:tc>
          <w:p/>
          <w:p>
            <w:pPr>
              <w:spacing w:after="0" w:before="0" w:lineRule="auto" w:line="276"/>
              <w:jc w:val="left"/>
            </w:pPr>
            <w:r>
              <w:rPr>
                <w:rFonts w:ascii="Times New Roman" w:hAnsi="Times New Roman" w:cs="Times New Roman" w:eastAsia="Times New Roman"/>
                <w:b w:val="false"/>
                <w:sz w:val="26"/>
              </w:rPr>
              <w:t>29-06-2023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11/2022/TT-BTC</w:t>
            </w:r>
          </w:p>
        </w:tc>
        <w:tc>
          <w:p/>
          <w:p>
            <w:pPr>
              <w:spacing w:after="0" w:before="0" w:lineRule="auto" w:line="276"/>
              <w:jc w:val="left"/>
            </w:pPr>
            <w:r>
              <w:rPr>
                <w:rFonts w:ascii="Times New Roman" w:hAnsi="Times New Roman" w:cs="Times New Roman" w:eastAsia="Times New Roman"/>
                <w:b w:val="false"/>
                <w:sz w:val="26"/>
              </w:rPr>
              <w:t>Thông tư số 11/2022/TT-BTC ngày 21/02/2022 của Bộ trưởng Bộ Tài chính</w:t>
            </w:r>
          </w:p>
        </w:tc>
        <w:tc>
          <w:p/>
          <w:p>
            <w:pPr>
              <w:spacing w:after="0" w:before="0" w:lineRule="auto" w:line="276"/>
              <w:jc w:val="left"/>
            </w:pPr>
            <w:r>
              <w:rPr>
                <w:rFonts w:ascii="Times New Roman" w:hAnsi="Times New Roman" w:cs="Times New Roman" w:eastAsia="Times New Roman"/>
                <w:b w:val="false"/>
                <w:sz w:val="26"/>
              </w:rPr>
              <w:t>21-02-2022</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09/2022/QH15</w:t>
            </w:r>
          </w:p>
        </w:tc>
        <w:tc>
          <w:p/>
          <w:p>
            <w:pPr>
              <w:spacing w:after="0" w:before="0" w:lineRule="auto" w:line="276"/>
              <w:jc w:val="left"/>
            </w:pPr>
            <w:r>
              <w:rPr>
                <w:rFonts w:ascii="Times New Roman" w:hAnsi="Times New Roman" w:cs="Times New Roman" w:eastAsia="Times New Roman"/>
                <w:b w:val="false"/>
                <w:sz w:val="26"/>
              </w:rPr>
              <w:t>Luật số 09/2022/QH15 của Quốc hội</w:t>
            </w:r>
          </w:p>
        </w:tc>
        <w:tc>
          <w:p/>
          <w:p>
            <w:pPr>
              <w:spacing w:after="0" w:before="0" w:lineRule="auto" w:line="276"/>
              <w:jc w:val="left"/>
            </w:pPr>
            <w:r>
              <w:rPr>
                <w:rFonts w:ascii="Times New Roman" w:hAnsi="Times New Roman" w:cs="Times New Roman" w:eastAsia="Times New Roman"/>
                <w:b w:val="false"/>
                <w:sz w:val="26"/>
              </w:rPr>
              <w:t>09-11-2022</w:t>
            </w:r>
          </w:p>
        </w:tc>
        <w:tc>
          <w:p/>
        </w:tc>
      </w:tr>
      <w:tr>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64/2025/TT-BCT</w:t>
            </w:r>
          </w:p>
        </w:tc>
        <w:tc>
          <w:p/>
          <w:p>
            <w:pPr>
              <w:spacing w:after="0" w:before="0" w:lineRule="auto" w:line="276"/>
              <w:jc w:val="left"/>
            </w:pPr>
            <w:r>
              <w:rPr>
                <w:rFonts w:ascii="Times New Roman" w:hAnsi="Times New Roman" w:cs="Times New Roman" w:eastAsia="Times New Roman"/>
                <w:b w:val="false"/>
                <w:sz w:val="26"/>
              </w:rPr>
              <w:t>Thông tư số 64/2025/TT-BCT</w:t>
            </w:r>
          </w:p>
        </w:tc>
        <w:tc>
          <w:p/>
          <w:p>
            <w:pPr>
              <w:spacing w:after="0" w:before="0" w:lineRule="auto" w:line="276"/>
              <w:jc w:val="left"/>
            </w:pPr>
            <w:r>
              <w:rPr>
                <w:rFonts w:ascii="Times New Roman" w:hAnsi="Times New Roman" w:cs="Times New Roman" w:eastAsia="Times New Roman"/>
                <w:b w:val="false"/>
                <w:sz w:val="26"/>
              </w:rPr>
              <w:t>31-12-2025</w:t>
            </w:r>
          </w:p>
        </w:tc>
        <w:tc>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66.16/NQ-CP</w:t>
            </w:r>
          </w:p>
        </w:tc>
        <w:tc>
          <w:p/>
          <w:p>
            <w:pPr>
              <w:spacing w:after="0" w:before="0" w:lineRule="auto" w:line="276"/>
              <w:jc w:val="left"/>
            </w:pPr>
            <w:r>
              <w:rPr>
                <w:rFonts w:ascii="Times New Roman" w:hAnsi="Times New Roman" w:cs="Times New Roman" w:eastAsia="Times New Roman"/>
                <w:b w:val="false"/>
                <w:sz w:val="26"/>
              </w:rPr>
              <w:t>Nghị quyết 66.16/NQ-CP ngày 07 tháng 4 năm 2026 của Chính phủ quy định cắt giảm, đơn giản hóa thủ tục hành chính, quy định 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2026-05-30T12:44:47Z</dcterms:created>
  <dc:creator>Apache POI</dc:creator>
</cp:coreProperties>
</file>