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cho quyền sử dụng đất cho Nhà nước hoặc cộng đồng dân cư hoặc mở rộng đường giao thông đối với trường hợp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tới Trung tâm Phục vụ hành chính công hoặc Ủy ban nhân dân cấp xã. 
Trường hợp có biên bản họp giữa Ủy ban nhân dân cấp xã với người sử dụng đất về việc tặng cho quyền sử dụng đất thì người sử dụng đất không phải nộp hồ sơ.</w:t>
      </w:r>
    </w:p>
    <w:p>
      <w:pPr>
        <w:spacing w:after="0" w:before="0" w:lineRule="auto" w:line="276"/>
        <w:jc w:val="both"/>
      </w:pPr>
      <w:r>
        <w:rPr>
          <w:rFonts w:ascii="Times New Roman" w:hAnsi="Times New Roman" w:cs="Times New Roman" w:eastAsia="Times New Roman"/>
          <w:b w:val="false"/>
          <w:sz w:val="26"/>
        </w:rPr>
        <w:t>Bước 2: Cơ quan có chức năng quản lý đất đai cấp xã tổ chức thực hiện:
- Đo đạc chỉnh lý bản đồ địa chính hoặc trích đo bản đồ địa chính thửa đất.
- Chuyển hồ sơ đến Văn phòng đăng ký đất đai hoặc Chi nhánh Văn phòng đăng ký đất đai để chỉnh lý, cập nhật vào hồ hơ địa chính.</w:t>
      </w:r>
    </w:p>
    <w:p>
      <w:pPr>
        <w:spacing w:after="0" w:before="0" w:lineRule="auto" w:line="276"/>
        <w:jc w:val="both"/>
      </w:pPr>
      <w:r>
        <w:rPr>
          <w:rFonts w:ascii="Times New Roman" w:hAnsi="Times New Roman" w:cs="Times New Roman" w:eastAsia="Times New Roman"/>
          <w:b w:val="false"/>
          <w:sz w:val="26"/>
        </w:rPr>
        <w:t>Bước 3: Người sử dụng đất, chủ sở hữu tài sản gắn liền với đất thực hiện thủ tục đăng ký đất đai, tài sản gắn liền với đất, cấp Giấy chứng nhận lần đầu theo quy định đối với phần diện tích còn lại của thửa đất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Chỉnh lý, cập nhật vào hồ hơ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2026-05-02T10:15:15Z</dcterms:created>
  <dc:creator>Apache POI</dc:creator>
</cp:coreProperties>
</file>