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đăng ký hoạt động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trọng tài được thành lập khi có ít nhất năm sáng lập viên là công dân Việt Nam có đủ điều kiện là Trọng tài viên quy định tại Điều 20 của Luật Trọng tài thương mại lập 01 bộ hồ sơ đề nghị thành lập Trung tâm trọng tài, gửi trực tiếp hoặc qua dịch vụ bưu chính đến Sở Tư pháp nơi Trung tâm trọng tài đặt trụ sở hoặc trực tuyến trên Cổng dịch vụ công quốc gia.
- Trong thời hạn 20 ngày làm việc kể từ ngày nhận được hồ sơ đầy đủ và hợp lệ, Sở Tư pháp thẩm định hồ sơ, trình Chủ tịch Ủy ban nhân dân cấp tỉnh xem xét, cấp Giấy phép thành lập Trung tâm trọng tài và phê chuẩn điều lệ của Trung tâm trọng tài, trường hợp từ chối phải thông báo bằng văn bản. Trong thời hạn 05 ngày làm việc kể từ ngày Chủ tịch Ủy ban nhân dân cấp tỉnh Giấy phép thành lập Trung tâm trọng tài và phê chuẩn điều lệ của Trung tâm trọng tài, Sở Tư pháp cấp Giấy đăng ký hoạt động cho Trung tâm trọng tài.
- Người yêu cầu nhận kết quả tại Sở Tư pháp nơi mình nộp hồ sơ hoặc qua dịch vụ bưu chính, trừ trường hợp pháp luật có quy định khác.
- Sau khi được cấp Giấy đăng ký hoạt động, Trung tâm trọng tài thực hiện việc công bố thành lập theo quy định tại Điều 26 của Luật Trọng tài thương mại và khắc con dấu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3.000.000 Đồng</w:t>
              <w:t xml:space="preserve"> (Ba triệu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Hồ sơ được gửi trực tuyến trên Cổng Dịch vụ công Quốc gia đến Sở Tư pháp nơi Trung tâm trọng tài đặt trụ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3.000.000 Đồng</w:t>
              <w:t xml:space="preserve"> (Ba triệu đồng)</w:t>
            </w:r>
          </w:p>
        </w:tc>
        <w:tc>
          <w:p/>
          <w:p>
            <w:pPr>
              <w:spacing w:after="0" w:before="0" w:lineRule="auto" w:line="276"/>
              <w:jc w:val="left"/>
            </w:pPr>
            <w:r>
              <w:rPr>
                <w:rFonts w:ascii="Times New Roman" w:hAnsi="Times New Roman" w:cs="Times New Roman" w:eastAsia="Times New Roman"/>
                <w:b w:val="false"/>
                <w:sz w:val="26"/>
              </w:rPr>
              <w:t>Hồ sơ được gửi qua dịch vụ bưu chính đến Sở Tư pháp nơi Trung tâm trọng tài đặt trụ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các sáng lập viên và các giấy tờ kèm theo chứng minh đủ điều kiện quy định tại Điều 20 của Luật Trọng tài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thành lập, đăng ký hoạt động Trung tâm trọng tài</w:t>
            </w:r>
          </w:p>
        </w:tc>
        <w:tc>
          <w:p/>
          <w:p>
            <w:pPr>
              <w:spacing w:after="0" w:before="0" w:lineRule="auto" w:line="276"/>
              <w:jc w:val="left"/>
            </w:pPr>
            <w:r>
              <w:rPr>
                <w:rFonts w:ascii="Times New Roman" w:hAnsi="Times New Roman" w:cs="Times New Roman" w:eastAsia="Times New Roman"/>
                <w:b w:val="false"/>
                <w:sz w:val="26"/>
              </w:rPr>
              <w:t>VBdenghithanhlapdkyhdongTTTT.docx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Trung tâm trọng tài</w:t>
            </w:r>
          </w:p>
        </w:tc>
        <w:tc>
          <w:p/>
          <w:p>
            <w:pPr>
              <w:spacing w:after="0" w:before="0" w:lineRule="auto" w:line="276"/>
              <w:jc w:val="left"/>
            </w:pPr>
            <w:r>
              <w:rPr>
                <w:rFonts w:ascii="Times New Roman" w:hAnsi="Times New Roman" w:cs="Times New Roman" w:eastAsia="Times New Roman"/>
                <w:b w:val="false"/>
                <w:sz w:val="26"/>
              </w:rPr>
              <w:t>DieuleTTTT.docx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Trung tâm trọng tài, Giấy đăng ký hoạt động của Trung tâm trọng tài do Sở Tư pháp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 - Quy định chi tiết và hướng dẫn thi hành một số điều của Luật Trọng tài thương mại</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số 222/2016/TT-BTC ngày 10/11/2016 của Bộ trưởng Bộ Tài chính quy định mức thu, chế độ thu, nộp, quản lý phí thẩm định tiểu chuẩn, điều kiện hành nghề trong lĩnh vực hoạt động trọng tài thương mại</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 - Ban hành một số biếu mẫu về tổ chức và hoạt động trọng tài thương mại</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trọng tài được thành lập khi có ít nhất 05 sáng lập viên là công dân Việt Nam có đủ điều kiện là trọng tài viên quy định tại Điều 20 của Luật Trọng tài thương mại.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2026-05-22T15:48:36Z</dcterms:created>
  <dc:creator>Apache POI</dc:creator>
</cp:coreProperties>
</file>