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1.003198.H18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công dân Việt Nam ở trong nước đủ điều kiện nhận trẻ em nước ngoài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ở trong nước nộp hồ sơ cho Trung tâm phục vụ hành chính công tỉnh Điện Biên hoặc Trung tâm phục vụ hành chính công của UBND cấp xã  nơi công dân Việt Nam cư trú để được xem xét, cấp giấy xác nhận đủ điều kiện nhận trẻ em nước ngoài làm con nuôi;
- Sở Tư pháp khai thác, sử dụng thông tin trên các cơ sở dữ liệu để thay thế thành phần hồ sơ của người nhận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lưu trữ dưới dạng điện tử hoặc bản giấy, phản ánh đầy đủ, chính xác thông tin tại thời điểm tra cứu và đính kèm hồ sơ của người nhận con nuôi.
- Sở Tư pháp yêu cầu cơ quan quản lý cơ sở dữ liệu lý lịch tư pháp cung cấp thông tin lý lịch tư pháp.
Cơ quan quản lý cơ sở dữ liệu lý lịch tư pháp có trách nhiệm cung cấp thông tin cho cơ quan yêu cầu trong thời hạn không quá 03 ngày làm việc kể từ ngày nhận được yêu cầu. Thời gian phối hợp cung cấp thông tin lý lịch tư pháp không tính vào thời gian giải quyết thủ tục hành chính.
- Sở Tư pháp xem xét, trình Chủ tịch Ủy ban nhân dân cấp tỉnh cấp giấy xác nhận người nhận con nuôi có đủ điều kiện nuôi con nuôi theo quy định của pháp luật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được đủ hồ sơ hợp lệ. Trường hợp cần xác minh thì thời hạn có thể kéo dài nhưng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được đủ hồ sơ hợp lệ. Trường hợp cần xác minh thì thời hạn có thể kéo dài nhưng không quá 30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được đủ hồ sơ hợp lệ. Trường hợp cần xác minh thì thời hạn có thể kéo dài nhưng không quá 30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Giấy khám sức khỏe do Bệnh viện đa khoa hoặc Phòng khám đa khoa hoặc Trung tâm y tế khu vực cấp có giá trị sử dụng nếu được cấp chưa quá 06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hoặc bản sao điện tử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nhận trẻ em nước ngoài làm con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Hướng dẫn lập dự toán, quản lý, sử dụng và quyết toán kinh phí ngân sách nhà nước bảo đảm cho công tác nuôi con nuôi và cấp, gia hạn, sửa đổi giấy phép hoạt động của tổ chức con nuôi nước ngoài tại Việt Nam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52/2010/QH12</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10/2025/TT-BTC</w:t>
            </w:r>
          </w:p>
        </w:tc>
        <w:tc>
          <w:p/>
          <w:p>
            <w:pPr>
              <w:spacing w:after="0" w:before="0" w:lineRule="auto" w:line="276"/>
              <w:jc w:val="left"/>
            </w:pPr>
            <w:r>
              <w:rPr>
                <w:rFonts w:ascii="Times New Roman" w:hAnsi="Times New Roman" w:cs="Times New Roman" w:eastAsia="Times New Roman"/>
                <w:b w:val="false"/>
                <w:sz w:val="26"/>
              </w:rPr>
              <w:t>Thông tư số 10/2025/TT-BTC ngày 19/3/2025 của Bộ Tài chính quy định mức thu, chế độ thu, nộp, quản lý và sử dụng phí duy trì sử dụng tài nguyên Internet, lệ phí phân bổ, cấp tài nguyên Internet.</w:t>
            </w:r>
          </w:p>
        </w:tc>
        <w:tc>
          <w:p/>
          <w:p>
            <w:pPr>
              <w:spacing w:after="0" w:before="0" w:lineRule="auto" w:line="276"/>
              <w:jc w:val="left"/>
            </w:pPr>
            <w:r>
              <w:rPr>
                <w:rFonts w:ascii="Times New Roman" w:hAnsi="Times New Roman" w:cs="Times New Roman" w:eastAsia="Times New Roman"/>
                <w:b w:val="false"/>
                <w:sz w:val="26"/>
              </w:rPr>
              <w:t>19-03-2025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xin nhận con nuôi phải có đủ các điều kiện sau đây: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2026-05-22T15:48:36Z</dcterms:created>
  <dc:creator>Apache POI</dc:creator>
</cp:coreProperties>
</file>