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1.013952.H50</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1307/QĐ-UBND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Điều chỉnh quyết định giao đất, cho thuê đất, cho phép chuyển mục đích sử dụng đất do thay đổi căn cứ quyết định giao đất, cho thuê đất, cho phép chuyển mục đích sử dụng đất; điều chỉnh thời hạn sử dụng đất của dự án đầu tư.</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Đất đai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Người đề nghị nộp hồ sơ đến Trung tâm Phục vụ hành chính công.
Khi nộp hồ sơ, người nộp hồ sơ được lựa chọn nộp bản sao giấy tờ và xuất trình bản chính để cán bộ tiếp nhận hồ sơ kiểm tra, đối chiếu hoặc nộp bản chính giấy tờ hoặc nộp bản sao giấy tờ đã có công chứng hoặc chứng thực theo quy định của pháp luật về công chứng, chứng thực. Trường hợp nộp hồ sơ theo hình thức trực tuyến thì hồ sơ nộp phải được số hóa từ bản chính hoặc bản sao giấy tờ đã được công chứng, chứng thực. 
Trường hợp Trung tâm Phục vụ hành chính công tiếp nhận hồ sơ thì chuyển hồ sơ đến cơ quan chuyên môn về nông nghiệp và môi trường cấp xã.
	Bước 2: Cơ quan chuyên môn về nông nghiệp và môi trường cấp xã thực hiện:
	- Đề nghị Văn phòng đăng ký đất đai hoặc Chi nhánh Văn phòng Đăng ký đất đai cung cấp thông tin về cơ sở dữ liệu đất đai, lập trích lục bản đồ địa chính thửa đất đối với trường hợp hồ sơ đầy đủ và hợp lệ.
	- Hướng dẫn người nộp hồ sơ bổ sung trích đo địa chính thửa đất đối với thửa đất tại nơi chưa có bản đồ địa chính theo quy định hoặc làm lại hồ sơ hoặc bổ sung hồ sơ và nộp lại cho cơ quan chuyên môn về nông nghiệp và môi trường cấp xã đối với trường hợp hồ sơ không đầy đủ, không hợp lệ. 
	- Rà soát, kiểm tra hồ sơ; kiểm tra thực địa.
- Chủ trì, phối hợp các cơ quan có liên quan xác định trường hợp được miễn tiền sử dụng đất, tiền thuê đất (nếu có).
	- Hoàn thiện hồ sơ trình Chủ tịch Ủy ban nhân dân cấp xã, hồ sơ gồm:
+ Dự thảo tờ trình theo Mẫu số 25 ban hành kèm theo Nghị định số 151/2025/NĐ-CP.
+ Dự thảo quyết định điều chỉnh quyết định giao đất, cho thuê đất, cho phép chuyển mục đích sử dụng đất theo Mẫu số 08 ban hành kèm theo Nghị định số 151/2025/NĐ-CP hoặc dự thảo quyết định điều chỉnh thời hạn sử dụng đất của dự án đầu tư theo Mẫu số 27 có nội dung về giá đất để tính tiền sử dụng đất, tiền thuê đất phải nộp và trách nhiệm của cơ quan thuế trong việc hướng dẫn người sử dụng đất nộp tiền sử dụng đất, tiền thuê đất theo quy định của pháp luật về tiền sử dụng đất, tiền thuê đất. 
+ Trích lục bản đồ địa chính thửa đất hoặc trích đo địa chính thửa đất.
+ Đơn đề nghị điều chỉnh quyết định giao đất, cho thuê đất, cho phép chuyển mục đích sử dụng đất hoặc Đơn đề nghị điều chỉnh thời hạn sử dụng đất của dự án đầu tư và các văn bản người sử dụng đất nộp theo mục 3 thủ tục này.
- Trình Chủ tịch Ủy ban nhân dân cấp xã ban hành quyết định.
	Bước 3: Chủ tịch Ủy ban nhân dân cấp xã xem xét ban hành Quyết định điều chỉnh quyết định giao đất, cho thuê đất, cho phép chuyển mục đích sử dụng đất hoặc Quyết định điều chỉnh thời hạn sử dụng đất của dự án đầu tư.
  Bước 4: (áp dụng đối với trường hợp người sử dụng đất phải nộp tiền sử dụng đất, tiền thuê đất):
	a) Trường hợp người sử dụng đất phải nộp tiền sử dụng đất, tiền thuê đất tính theo bảng giá đất:
	- Cơ quan chuyên môn về nông nghiệp và môi trường cấp xã chuyển Phiếu chuyển thông tin để xác định nghĩa vụ tài chính về đất đai theo Mẫu số 19 ban hành kèm theo Nghị định số 151/2025/NĐ-CP được sửa đổi, bổ sung tại Nghị định 226/2025/NĐ-CP cho cơ quan thuế.
- Cơ quan thuế:
+ Xác định tiền sử dụng đất, tiền thuê đất phải nộp theo quy định; xác định tiền thuê đất phải nộp một số năm đối với trường hợp được miễn tiền thuê đất một số năm sau thời gian được miễn tiền thuê đất của thời gian xây dựng cơ bản.
+ Ban hành thông báo nộp tiền sử dụng đất, tiền thuê đất gửi cho người sử dụng đất.
	- Người sử dụng đất nộp tiền sử dụng đất, tiền thuê đất theo quy định của pháp luật về tiền sử dụng đất, tiền thuê đất.
	- Cơ quan thuế xác nhận hoàn thành việc nộp tiền sử dụng đất, tiền thuê đất và gửi thông báo kết quả cho cơ quan chuyên môn về nông nghiệp và môi trường cấp xã.
b) Trường hợp người sử dụng đất phải nộp tiền sử dụng đất, tiền thuê đất tính theo giá đất cụ thể:
- Cơ quan chuyên môn về nông nghiệp và môi trường cấp xã:
+ Tổ chức việc xác định giá đất cụ thể.
+ Trình Chủ tịch Uỷ ban nhân dân cấp xã ban hành Quyết định phê duyệt giá đất cụ thể có nội dung về trách nhiệm của cơ quan thuế trong việc hướng dẫn người sử dụng đất nộp tiền sử dụng đất, tiền thuê đất.
	- Chủ tịch Uỷ ban nhân dân cấp xã xem xét, ban hành Quyết định phê duyệt giá đất cụ thể.
	- Cơ quan chuyên môn về nông nghiệp và môi trường cấp xã chuyển Phiếu chuyển thông tin để xác định nghĩa vụ tài chính về đất đai theo Mẫu số 19 ban hành kèm theo Nghị định số 151/2025/NĐ-CP được sửa đổi, bổ sung tại Nghị định 226/2025/NĐ-CP cho cơ quan thuế.
- Cơ quan thuế:
+ Xác định tiền sử dụng đất, tiền thuê đất phải nộp theo quy định; xác định tiền thuê đất phải nộp một số năm đối với trường hợp được miễn tiền thuê đất một số năm sau thời gian được miễn tiền thuê đất của thời gian xây dựng cơ bản.
+ Ban hành thông báo nộp tiền sử dụng đất, tiền thuê đất gửi cho người sử dụng đất.
	- Người sử dụng đất nộp tiền sử dụng đất, tiền thuê đất theo quy định của pháp luật về tiền sử dụng đất, tiền thuê đất.
	- Cơ quan thuế xác nhận hoàn thành việc nộp tiền sử dụng đất, tiền thuê đất và gửi thông báo kết quả cho cơ quan chuyên môn về nông nghiệp và môi trường cấp xã.
	Bước 5: Cơ quan chuyên môn về nông nghiệp và môi trường cấp xã:
	- Trình hoặc chuyển cấp có thẩm quyền ký Giấy chứng nhận hoặc xác nhận thay đổi trên Giấy chứng nhận theo quy định của pháp luật đất đai;
	- Chuyển hồ sơ đến Văn phòng đăng ký đất đai hoặc Chi nhánh Văn phòng đăng ký đất đai; 
	- Việc bàn giao đất trên thực địa thực hiện theo Mẫu số 24 ban hành kèm theo Nghị định số 151/2025/NĐ-CP và trao Giấy chứng nhận cho người sử dụng đất.
   Bước 6: Văn phòng đăng ký đất đai hoặc Chi nhánh Văn phòng đăng ký đất đai:
 	- Cấp mới Giấy chứng nhận hoặc xác nhận thay đổi trên Giấy chứng nhận đã cấp đối với trường hợp thuộc thẩm quyền được giao theo quy định của pháp luật đất đai.
	- Cập nhật, chỉnh lý cơ sở dữ liệu đất đai, hồ sơ địa chính và chuyển Giấy chứng nhận cho cơ quan tiếp nhận hồ sơ để trả.</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05 Ngày</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Trường hợp đề nghị điều chỉnh quyết định giao đất, cho thuê đất, cho phép chuyển mục đích sử dụng đất: không quá 05 ngày 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15 Ngày</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Trường hợp đề nghị điều chỉnh quyết định giao đất, cho thuê đất, cho phép chuyển mục đích sử dụng đất: đối với các xã miền núi, biên giới; đảo; vùng có điều kiện kinh tế - xã hội khó khăn; vùng có điều kiện kinh tế - xã hội đặc biệt khó khăn thì thời gian thực hiện không quá 15 ngày.</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15 Ngày</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Trường hợp đề nghị điều chỉnh thời hạn sử dụng đất của dự án đầu tư:  không quá 15 ngày 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25 Ngày</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Trường hợp đề nghị điều chỉnh thời hạn sử dụng đất của dự án đầu tư:  đối với các xã miền núi, biên giới; đảo; vùng có điều kiện kinh tế - xã hội khó khăn; vùng có điều kiện kinh tế - xã hội đặc biệt khó khăn thì thời gian thực hiện không quá 25 ngày.</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05 Ngày</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Trường hợp đề nghị điều chỉnh quyết định giao đất, cho thuê đất, cho phép chuyển mục đích sử dụng đất: không quá 05 ngày 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15 Ngày</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Trường hợp đề nghị điều chỉnh quyết định giao đất, cho thuê đất, cho phép chuyển mục đích sử dụng đất: đối với các xã miền núi, biên giới; đảo; vùng có điều kiện kinh tế - xã hội khó khăn; vùng có điều kiện kinh tế - xã hội đặc biệt khó khăn thì thời gian thực hiện không quá 15 ngày.</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15 Ngày</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Trường hợp đề nghị điều chỉnh thời hạn sử dụng đất của dự án đầu tư:  không quá 15 ngày 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25 Ngày</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Trường hợp đề nghị điều chỉnh thời hạn sử dụng đất của dự án đầu tư:  đối với các xã miền núi, biên giới; đảo; vùng có điều kiện kinh tế - xã hội khó khăn; vùng có điều kiện kinh tế - xã hội đặc biệt khó khăn thì thời gian thực hiện không quá 25 ngày.</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05 Ngày</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Trường hợp đề nghị điều chỉnh quyết định giao đất, cho thuê đất, cho phép chuyển mục đích sử dụng đất: không quá 05 ngày 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15 Ngày</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Trường hợp đề nghị điều chỉnh quyết định giao đất, cho thuê đất, cho phép chuyển mục đích sử dụng đất: đối với các xã miền núi, biên giới; đảo; vùng có điều kiện kinh tế - xã hội khó khăn; vùng có điều kiện kinh tế - xã hội đặc biệt khó khăn thì thời gian thực hiện không quá 15 ngày.</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15 Ngày</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Trường hợp đề nghị điều chỉnh thời hạn sử dụng đất của dự án đầu tư:  không quá 15 ngày 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25 Ngày</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Trường hợp đề nghị điều chỉnh thời hạn sử dụng đất của dự án đầu tư:  đối với các xã miền núi, biên giới; đảo; vùng có điều kiện kinh tế - xã hội khó khăn; vùng có điều kiện kinh tế - xã hội đặc biệt khó khăn thì thời gian thực hiện không quá 25 ngày.</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xml:space="preserve">a) Hồ sơ đề nghị điều chỉnh quyết định giao đất/cho thuê đất/cho phép chuyển mục đích sử dụng đất bao gồm: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theo Mẫu số 03</w:t>
            </w:r>
          </w:p>
        </w:tc>
        <w:tc>
          <w:p/>
          <w:p>
            <w:pPr>
              <w:spacing w:after="0" w:before="0" w:lineRule="auto" w:line="276"/>
              <w:jc w:val="left"/>
            </w:pPr>
            <w:r>
              <w:rPr>
                <w:rFonts w:ascii="Times New Roman" w:hAnsi="Times New Roman" w:cs="Times New Roman" w:eastAsia="Times New Roman"/>
                <w:b w:val="false"/>
                <w:sz w:val="26"/>
              </w:rPr>
              <w:t>Mus03.docx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Văn bản của cơ quan nhà nước có thẩm quyền có nội dung làm thay đổi căn cứ quyết định giao đất, cho thuê đất, cho phép chuyển mục đích sử dụng đất quy định tại các khoản 1, 2, 3, 4 và 5 Điều 116 Luật Đất đai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b) Hồ sơ đề nghị điều chỉnh thời hạn sử dụng đất của dự án đầu tư 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đề nghị điều chỉnh thời hạn sử dụng đất của dự án đầu tư theo Mẫu số 12</w:t>
            </w:r>
          </w:p>
        </w:tc>
        <w:tc>
          <w:p/>
          <w:p>
            <w:pPr>
              <w:spacing w:after="0" w:before="0" w:lineRule="auto" w:line="276"/>
              <w:jc w:val="left"/>
            </w:pPr>
            <w:r>
              <w:rPr>
                <w:rFonts w:ascii="Times New Roman" w:hAnsi="Times New Roman" w:cs="Times New Roman" w:eastAsia="Times New Roman"/>
                <w:b w:val="false"/>
                <w:sz w:val="26"/>
              </w:rPr>
              <w:t>Mus12.docx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Văn bản của cơ quan có thẩm quyền cho phép thay đổi thời hạn hoạt động của dự án đầu tư theo quy định của pháp luật về đầu tư</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Một trong các giấy tờ sau đây: + Một trong các giấy chứng nhận: Giấy chứng nhận quyền sử dụng đất, quyền sở hữu tài sản gắn liền với đất là chứng thư pháp lý để Nhà nước xác nhận quyền sử dụng đất, quyền sở hữu tài sản gắn liền với đất hợp pháp của người có quyền sử dụng đất, quyền sở hữu tài sản gắn liền với đất. Tài sản gắn liền với đất được cấp Giấy chứng nhận quyền sử dụng đất, quyền sở hữu tài sản gắn liền với đất là nhà ở, công trình xây dựng gắn liền với đất theo quy định của pháp luật. + Một trong các giấy chứng nhận: Giấy chứng nhận quyền sử dụng đất, Giấy chứng nhận quyền sở hữu nhà ở và quyền sử dụng đất ở, Giấy chứng nhận quyền sở hữu nhà ở, Giấy chứng nhận quyền sở hữu công trình xây dựng, Giấy chứng nhận quyền sử dụng đất, quyền sở hữu nhà ở và tài sản khác gắn liền với đất đã được cấp theo quy định của pháp luật về đất đai, pháp luật về nhà ở, pháp luật về xây dựng trước ngày Luật Đất đai có hiệu lực thi hành .</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Quyết định giao đất, quyết định cho thuê đất, quyết định cho phép chuyển mục đích sử dụng đất của cơ quan nhà nước có thẩm quyền theo quy định của pháp luật về đất đai qua các thời kỳ.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Cán bộ, công chức, viên chức,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UBND cấp xã - tỉnh Quảng Trị</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UBND cấp xã - tỉnh Quảng Trị</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PV HCC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Văn phòng Đăng ký đất đai - tỉnh Quảng Trị, Cơ quan thuế</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điều chỉnh quyết định giao đất, cho thuê đất, cho phép chuyển mục đích sử dụng đất., Quyết định điều chỉnh thời hạn sử dụng đất của dự án đầu tư., Giấy chứng nhận quyền sử dụng đất, quyền sở hữu tài sản gắn liền với đất.</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31/2024/QH15</w:t>
            </w:r>
          </w:p>
        </w:tc>
        <w:tc>
          <w:p/>
          <w:p>
            <w:pPr>
              <w:spacing w:after="0" w:before="0" w:lineRule="auto" w:line="276"/>
              <w:jc w:val="left"/>
            </w:pPr>
            <w:r>
              <w:rPr>
                <w:rFonts w:ascii="Times New Roman" w:hAnsi="Times New Roman" w:cs="Times New Roman" w:eastAsia="Times New Roman"/>
                <w:b w:val="false"/>
                <w:sz w:val="26"/>
              </w:rPr>
              <w:t>Luật Đất đai 2024</w:t>
            </w:r>
          </w:p>
        </w:tc>
        <w:tc>
          <w:p/>
          <w:p>
            <w:pPr>
              <w:spacing w:after="0" w:before="0" w:lineRule="auto" w:line="276"/>
              <w:jc w:val="left"/>
            </w:pPr>
            <w:r>
              <w:rPr>
                <w:rFonts w:ascii="Times New Roman" w:hAnsi="Times New Roman" w:cs="Times New Roman" w:eastAsia="Times New Roman"/>
                <w:b w:val="false"/>
                <w:sz w:val="26"/>
              </w:rPr>
              <w:t>01-02-2024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43/2024/QH15</w:t>
            </w:r>
          </w:p>
        </w:tc>
        <w:tc>
          <w:p/>
          <w:p>
            <w:pPr>
              <w:spacing w:after="0" w:before="0" w:lineRule="auto" w:line="276"/>
              <w:jc w:val="left"/>
            </w:pPr>
            <w:r>
              <w:rPr>
                <w:rFonts w:ascii="Times New Roman" w:hAnsi="Times New Roman" w:cs="Times New Roman" w:eastAsia="Times New Roman"/>
                <w:b w:val="false"/>
                <w:sz w:val="26"/>
              </w:rPr>
              <w:t>Luật số 43/2024/QH 15 sửa đổi, bổ sung một số điều của Luật Đất đai số 31/2024/QH15, Luật Nhà ở số 27/2023/QH15, Luật Kinh doanh bất động sản số 29/2023/QH15 và Luật Các tổ chức tín dụng số 32/2024/QH15.</w:t>
            </w:r>
          </w:p>
        </w:tc>
        <w:tc>
          <w:p/>
          <w:p>
            <w:pPr>
              <w:spacing w:after="0" w:before="0" w:lineRule="auto" w:line="276"/>
              <w:jc w:val="left"/>
            </w:pPr>
            <w:r>
              <w:rPr>
                <w:rFonts w:ascii="Times New Roman" w:hAnsi="Times New Roman" w:cs="Times New Roman" w:eastAsia="Times New Roman"/>
                <w:b w:val="false"/>
                <w:sz w:val="26"/>
              </w:rPr>
              <w:t>29-06-2024</w:t>
            </w:r>
          </w:p>
        </w:tc>
        <w:tc>
          <w:p/>
        </w:tc>
      </w:tr>
      <w:tr>
        <w:tc>
          <w:p/>
          <w:p>
            <w:pPr>
              <w:spacing w:after="0" w:before="0" w:lineRule="auto" w:line="276"/>
              <w:jc w:val="left"/>
            </w:pPr>
            <w:r>
              <w:rPr>
                <w:rFonts w:ascii="Times New Roman" w:hAnsi="Times New Roman" w:cs="Times New Roman" w:eastAsia="Times New Roman"/>
                <w:b w:val="false"/>
                <w:sz w:val="26"/>
              </w:rPr>
              <w:t>102/2024/NĐ-CP</w:t>
            </w:r>
          </w:p>
        </w:tc>
        <w:tc>
          <w:p/>
          <w:p>
            <w:pPr>
              <w:spacing w:after="0" w:before="0" w:lineRule="auto" w:line="276"/>
              <w:jc w:val="left"/>
            </w:pPr>
            <w:r>
              <w:rPr>
                <w:rFonts w:ascii="Times New Roman" w:hAnsi="Times New Roman" w:cs="Times New Roman" w:eastAsia="Times New Roman"/>
                <w:b w:val="false"/>
                <w:sz w:val="26"/>
              </w:rPr>
              <w:t>Nghị định 102/2024/NĐ-CP ngày 30/7/2024 của Chính phủ quy định chi tiết thi hành một số điều của Luật Đất đai.</w:t>
            </w:r>
          </w:p>
        </w:tc>
        <w:tc>
          <w:p/>
          <w:p>
            <w:pPr>
              <w:spacing w:after="0" w:before="0" w:lineRule="auto" w:line="276"/>
              <w:jc w:val="left"/>
            </w:pPr>
            <w:r>
              <w:rPr>
                <w:rFonts w:ascii="Times New Roman" w:hAnsi="Times New Roman" w:cs="Times New Roman" w:eastAsia="Times New Roman"/>
                <w:b w:val="false"/>
                <w:sz w:val="26"/>
              </w:rPr>
              <w:t>10-01-2024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151/2025/NĐ-CP</w:t>
            </w:r>
          </w:p>
        </w:tc>
        <w:tc>
          <w:p/>
          <w:p>
            <w:pPr>
              <w:spacing w:after="0" w:before="0" w:lineRule="auto" w:line="276"/>
              <w:jc w:val="left"/>
            </w:pPr>
            <w:r>
              <w:rPr>
                <w:rFonts w:ascii="Times New Roman" w:hAnsi="Times New Roman" w:cs="Times New Roman" w:eastAsia="Times New Roman"/>
                <w:b w:val="false"/>
                <w:sz w:val="26"/>
              </w:rPr>
              <w:t>Quy định về phân định thẩm quyền của chính quyền địa phương 02 cấp, phân quyền, phân cấp trong lĩnh vực đất đai</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118/2025/NĐ-C</w:t>
            </w:r>
          </w:p>
        </w:tc>
        <w:tc>
          <w:p/>
          <w:p>
            <w:pPr>
              <w:spacing w:after="0" w:before="0" w:lineRule="auto" w:line="276"/>
              <w:jc w:val="left"/>
            </w:pPr>
            <w:r>
              <w:rPr>
                <w:rFonts w:ascii="Times New Roman" w:hAnsi="Times New Roman" w:cs="Times New Roman" w:eastAsia="Times New Roman"/>
                <w:b w:val="false"/>
                <w:sz w:val="26"/>
              </w:rPr>
              <w:t>Thực hiện thủ tục hành chính theo cơ chế một cửa, một cửa liên thông tại Bộ phận Một cửa và cổng Dịch vụ công quốc gia</w:t>
            </w:r>
          </w:p>
        </w:tc>
        <w:tc>
          <w:p/>
          <w:p>
            <w:pPr>
              <w:spacing w:after="0" w:before="0" w:lineRule="auto" w:line="276"/>
              <w:jc w:val="left"/>
            </w:pPr>
            <w:r>
              <w:rPr>
                <w:rFonts w:ascii="Times New Roman" w:hAnsi="Times New Roman" w:cs="Times New Roman" w:eastAsia="Times New Roman"/>
                <w:b w:val="false"/>
                <w:sz w:val="26"/>
              </w:rPr>
              <w:t>09-06-2025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467/QĐ-UBND</w:t>
            </w:r>
          </w:p>
        </w:tc>
        <w:tc>
          <w:p/>
          <w:p>
            <w:pPr>
              <w:spacing w:after="0" w:before="0" w:lineRule="auto" w:line="276"/>
              <w:jc w:val="left"/>
            </w:pPr>
            <w:r>
              <w:rPr>
                <w:rFonts w:ascii="Times New Roman" w:hAnsi="Times New Roman" w:cs="Times New Roman" w:eastAsia="Times New Roman"/>
                <w:b w:val="false"/>
                <w:sz w:val="26"/>
              </w:rPr>
              <w:t>Công bố thủ tục hành chính nội bộ giữa các cơ quan hành chính nhà nước trong lĩnh vực Kinh tế hợp tác và Phát triển nông thôn thuộc thẩm quyền giải quyết của UBND tỉnh, Sở Nông nghiệp và Môi trường, UBND cấp xã trên địa bàn tỉnh Quảng Trị</w:t>
            </w:r>
          </w:p>
        </w:tc>
        <w:tc>
          <w:p/>
          <w:p>
            <w:pPr>
              <w:spacing w:after="0" w:before="0" w:lineRule="auto" w:line="276"/>
              <w:jc w:val="left"/>
            </w:pPr>
            <w:r>
              <w:rPr>
                <w:rFonts w:ascii="Times New Roman" w:hAnsi="Times New Roman" w:cs="Times New Roman" w:eastAsia="Times New Roman"/>
                <w:b w:val="false"/>
                <w:sz w:val="26"/>
              </w:rPr>
              <w:t>10-07-2025</w:t>
            </w:r>
          </w:p>
        </w:tc>
        <w:tc>
          <w:p/>
          <w:p>
            <w:pPr>
              <w:spacing w:after="0" w:before="0" w:lineRule="auto" w:line="276"/>
              <w:jc w:val="left"/>
            </w:pPr>
            <w:r>
              <w:rPr>
                <w:rFonts w:ascii="Times New Roman" w:hAnsi="Times New Roman" w:cs="Times New Roman" w:eastAsia="Times New Roman"/>
                <w:b w:val="false"/>
                <w:sz w:val="26"/>
              </w:rPr>
              <w:t>UBND tỉnh Quảng Trị</w:t>
            </w:r>
          </w:p>
        </w:tc>
      </w:tr>
      <w:tr>
        <w:tc>
          <w:p/>
          <w:p>
            <w:pPr>
              <w:spacing w:after="0" w:before="0" w:lineRule="auto" w:line="276"/>
              <w:jc w:val="left"/>
            </w:pPr>
            <w:r>
              <w:rPr>
                <w:rFonts w:ascii="Times New Roman" w:hAnsi="Times New Roman" w:cs="Times New Roman" w:eastAsia="Times New Roman"/>
                <w:b w:val="false"/>
                <w:sz w:val="26"/>
              </w:rPr>
              <w:t>1307/QĐ-UBND</w:t>
            </w:r>
          </w:p>
        </w:tc>
        <w:tc>
          <w:p/>
          <w:p>
            <w:pPr>
              <w:spacing w:after="0" w:before="0" w:lineRule="auto" w:line="276"/>
              <w:jc w:val="left"/>
            </w:pPr>
            <w:r>
              <w:rPr>
                <w:rFonts w:ascii="Times New Roman" w:hAnsi="Times New Roman" w:cs="Times New Roman" w:eastAsia="Times New Roman"/>
                <w:b w:val="false"/>
                <w:sz w:val="26"/>
              </w:rPr>
              <w:t>Quyết định Công bố Danh mục thủ tục hành chính mới ban hành; được sửa đổi, bổ sung lĩnh vực Đất đai thuộc thẩm quyền giải quyết của UBND tỉnh, Sở Nông nghiệp và Môi trường, Văn phòng Đăng ký đất đai, Chi nhánh Văn phòng Đăng ký đất đai và UBND cấp xã trên địa bàn tỉnh Quảng Trị</w:t>
            </w:r>
          </w:p>
        </w:tc>
        <w:tc>
          <w:p/>
          <w:p>
            <w:pPr>
              <w:spacing w:after="0" w:before="0" w:lineRule="auto" w:line="276"/>
              <w:jc w:val="left"/>
            </w:pPr>
            <w:r>
              <w:rPr>
                <w:rFonts w:ascii="Times New Roman" w:hAnsi="Times New Roman" w:cs="Times New Roman" w:eastAsia="Times New Roman"/>
                <w:b w:val="false"/>
                <w:sz w:val="26"/>
              </w:rPr>
              <w:t>04-09-2025</w:t>
            </w:r>
          </w:p>
        </w:tc>
        <w:tc>
          <w:p/>
          <w:p>
            <w:pPr>
              <w:spacing w:after="0" w:before="0" w:lineRule="auto" w:line="276"/>
              <w:jc w:val="left"/>
            </w:pPr>
            <w:r>
              <w:rPr>
                <w:rFonts w:ascii="Times New Roman" w:hAnsi="Times New Roman" w:cs="Times New Roman" w:eastAsia="Times New Roman"/>
                <w:b w:val="false"/>
                <w:sz w:val="26"/>
              </w:rPr>
              <w:t>UBND tỉnh Quảng Trị</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a) Điều kiện đối với trường hợp điều chỉnh quyết định giao đất, cho thuê đất, cho phép chuyển mục đích sử dụng đất:
- Đang sử dụng đất đã có quyết định giao đất, cho thuê đất, cho phép chuyển mục đích sử dụng đất.
- Thay đổi căn cứ để ban hành quyết định giao đất, cho thuê đất, cho phép chuyển mục đích sử dụng đất quy định tại các khoản 1, 2, 3, 4 và 5 Điều 116 Luật Đất đai.
b) Điều kiện đối với trường hợp đề nghị điều chỉnh thời hạn sử dụng đất đối với dự án đầu tư có sử dụng đất khi chưa hết thời hạn sử dụng đất:
- Phù hợp với quy hoạch sử dụng đất cấp huyện.
- Có văn bản đề nghị điều chỉnh thời hạn sử dụng đất của dự án đầu tư.
- Đã hoàn thành nghĩa vụ tài chính về đất đai đối với Nhà nước theo quy định của pháp luật.
- Không thuộc trường hợp thu hồi đất do vi phạm pháp luật về đất đai quy định tại Điều 81 của Luật này.
- Có văn bản của cơ quan có thẩm quyền về việc điều chỉnh dự án đầu tư theo quy định của pháp luật mà có thay đổi thời hạn hoạt động của dự án đầu tư.
- Đáp ứng các điều kiện về môi trường theo quy định của pháp luật về bảo vệ môi trường.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2026-05-04T10:43:42Z</dcterms:created>
  <dc:creator>Apache POI</dc:creator>
</cp:coreProperties>
</file>