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của Văn phòng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công chứng thuộc trường hợp quy định tại khoản 1 Điều 26 của Luật Công chứng lập 01 bộ hồ sơ theo quy định, nộp trực tiếp hoặc qua dịch vụ bưu chính hoặc trực tuyến trên môi trường điện tử về Trung tâm phục vụ hành chính công tỉnh Điện Biên nơi đăng ký hoạt động.
- Trong thời hạn 05 ngày làm việc kể từ ngày nhận đủ hồ sơ hợp lệ, Sở Tư pháp ghi nhận nội dung thay đổi vào giấy đăng ký hoạt động của Văn phòng công chứng;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 Đối với trường hợp thay đổi nội dung đăng ký hoạt động của Văn phòng công chứng do Văn phòng công chứng thay đổi tên, địa chỉ trụ sở, Trưởng Văn phòng công chứng thì được Sở Tư pháp cấp lại giấy đăng ký hoạt động, mức phí: 500.000đ; - Đối với trường hợp thay đổi nội dung đăng ký hoạt động khác thì Sở Tư pháp ghi nhận nội dung thay đổi vào giấy đăng ký hoạt động của Văn phòng công chứng, mức phí: 0đ.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 Đối với trường hợp thay đổi nội dung đăng ký hoạt động của Văn phòng công chứng do Văn phòng công chứng thay đổi tên, địa chỉ trụ sở, Trưởng Văn phòng công chứng thì được Sở Tư pháp cấp lại giấy đăng ký hoạt động, mức phí: 500.000đ; - Đối với trường hợp thay đổi nội dung đăng ký hoạt động khác thì Sở Tư pháp ghi nhận nội dung thay đổi vào giấy đăng ký hoạt động của Văn phòng công chứng, mức phí: 0đ.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 Đối với trường hợp thay đổi nội dung đăng ký hoạt động của Văn phòng công chứng do Văn phòng công chứng thay đổi tên, địa chỉ trụ sở, Trưởng Văn phòng công chứng thì được Sở Tư pháp cấp lại giấy đăng ký hoạt động, mức phí: 500.000đ; - Đối với trường hợp thay đổi nội dung đăng ký hoạt động khác thì Sở Tư pháp ghi nhận nội dung thay đổi vào giấy đăng ký hoạt động của Văn phòng công chứng, mức phí: 0đ. </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giấy tờ chứng minh nội dung đề nghị thay đổi; trường hợp bổ sung công chứng viên hợp danh thì phải có giấy tờ chứng minh đã nộp đủ số vốn góp theo thoả thuận và 02 ảnh 2cm x 3 cm của công chứng viên được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thay đổi nội dung đăng ký hoạt động theo mẫu do Bộ trưởng Bộ Tư pháp quy định</w:t>
            </w:r>
          </w:p>
        </w:tc>
        <w:tc>
          <w:p/>
          <w:p>
            <w:pPr>
              <w:spacing w:after="0" w:before="0" w:lineRule="auto" w:line="276"/>
              <w:jc w:val="left"/>
            </w:pPr>
            <w:r>
              <w:rPr>
                <w:rFonts w:ascii="Times New Roman" w:hAnsi="Times New Roman" w:cs="Times New Roman" w:eastAsia="Times New Roman"/>
                <w:b w:val="false"/>
                <w:sz w:val="26"/>
              </w:rPr>
              <w:t>07.DondenghithaydoinoidungDKHDvacapTheCCV.doc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Văn phòng công chứng được cấp lại hoặc được ghi nhận nội dung thay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Thông tư số 257/2016/TT-BTC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sử dụng phí công chứng; phí chứng thực; phí thẩm định tiêu chuẩn, điều kiện hành nghề công chứng; phí thẩm định điều kiện hoạt động Văn phòng công chứng; lệ phí cấp thẻ công chứng viên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2026-05-22T15:50:14Z</dcterms:created>
  <dc:creator>Apache POI</dc:creator>
</cp:coreProperties>
</file>