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Văn phòng công chứng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quyết định cho phép hợp nhất của Ủy ban nhân dân cấp tỉnh, Văn phòng công chứng hợp nhất lập 01 bộ hồ sơ theo quy định, nộp trực tiếp hoặc qua dịch vụ bưu chính hoặc trực tuyến trên môi trường điện tử về Trung tâm phục vụ hành chính công tỉnh Điện Biên nơi Văn phòng công chứng đặt trụ sở.
- Trong thời hạn 05 ngày làm việc kể từ ngày nhận đủ hồ sơ hợp lệ, Sở Tư pháp cấp giấy đăng ký hoạt động cho Văn phòng công chứng hợp nhất, thu hồi giấy đăng ký hoạt động của Văn phòng công chứng bị hợp nhất,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của Văn phòng công chứng hợp nhất theo mẫu do Bộ trưởng Bộ Tư pháp quy định</w:t>
            </w:r>
          </w:p>
        </w:tc>
        <w:tc>
          <w:p/>
          <w:p>
            <w:pPr>
              <w:spacing w:after="0" w:before="0" w:lineRule="auto" w:line="276"/>
              <w:jc w:val="left"/>
            </w:pPr>
            <w:r>
              <w:rPr>
                <w:rFonts w:ascii="Times New Roman" w:hAnsi="Times New Roman" w:cs="Times New Roman" w:eastAsia="Times New Roman"/>
                <w:b w:val="false"/>
                <w:sz w:val="26"/>
              </w:rPr>
              <w:t>10.DondenghiDKHvcapTheCCVcuaVPCChopnhat.doc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Giấy tờ chứng minh điều kiện về trụ sở của Văn phòng công chứng hợp nhất theo quy định tại Điều 18 của Nghị định số 104/2025/NĐ-CP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công chứng viên của các công chứng viên của Văn phòng công chứng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 hợp nhất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Văn phòng công chứng bị hợp nhất được tiếp tục hoạt động nhưng không được tiếp nhận các yêu cầu công chứng mới cho đến khi Văn phòng công chứng hợp nhất được cấp giấy đăng ký hoạt động. Văn phòng công chứng hợp nhất kế thừa toàn bộ quyền, nghĩa vụ, yêu cầu công chứng đang thực hiện tại các Văn phòng công chứng bị hợp nhất và có trách nhiệm lưu trữ toàn bộ hồ sơ công chứng của các Văn phòng công chứng bị hợp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2026-05-22T15:47:57Z</dcterms:created>
  <dc:creator>Apache POI</dc:creator>
</cp:coreProperties>
</file>