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1.013841.H18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Miễn kiểm tra giám sát đối với cơ sở kiểm nghiệm thực phẩm đã đƣợc tổ chức công nhận hợp pháp của Việt Nam hoặc tổ chức công nhận nƣớc ngoài là thành viên tham gia thỏa thuận lẫn nhau của Hiệp hội công nhận phòng thí nhiệm Quốc tế, Hiệp hội công nhận phòng thí nghiệm Châu Á- Thái Bình Dƣơng đánh giá và cấp chứng chỉ công nhận theo Tiêu chuẩn quốc gia TCVN ISO/IEC 17025 hoặc Tiêu chuẩn quốc tế ISO/IEC 17025.</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thực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kiểm nghiệm đã được tổ chức công nhận hợp pháp của Việt Nam hoặc tổ chức công nhận nước ngoài là thành viên tham gia thỏa thuận lẫn nhau của Hiệp hội công nhận phòng thí nhiệm Quốc tế, Hiệp hội công nhận phòng thí nghiệm Châu Á- Thái Bình Dương đánh giá và cấp chứng chỉ công nhận theo Tiêu chuẩn quốc gia TCVN ISO/IEC 17025 hoặc Tiêu chuẩn quốc tế ISO/IEC 17025xin miễn kiểm tra giám sát gửi hồ sơ về cơ quan chuyên môn về Trung tâm phục vụ hành chính công tỉnh Điện Biên.
Bước 2: Trong thời hạn không quá 05 ngày làm việc, kể từ ngày nhận được hồ sơ đầy đủ và hợp lệ, Trung tâm phục vụ hành chính công tỉnh Điện Biên thẩm định hồ sơ và trả lời kết quả bằng văn bản cho cơ sở kiểm nghiệm.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Biên bản giám sát của cơ quan công nhận hợp chuẩn Tiêu chuẩn quốc gia TCVN ISO/IEC 17025 hoặc Tiêu chuẩn quốc tế ISO/IEC 17025 (trong vòng mười hai (12) tháng kể từ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kết quả hoạt động trong vòng mười hai (12) tháng kể từ ngày nộp hồ sơ, trong đó nêu rõ kết quả tự đánh giá năng lực phân tích của cơ sở kiểm nghiệm so với quy định có liên quan của Bộ quản lý ngành.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Công văn đề nghị miễn kiểm tra;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tỉnh Tây Ninh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hành chính trả lời cho cơ sở kiểm nghiệm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55/2010/QH12</w:t>
            </w:r>
          </w:p>
        </w:tc>
        <w:tc>
          <w:p/>
          <w:p>
            <w:pPr>
              <w:spacing w:after="0" w:before="0" w:lineRule="auto" w:line="276"/>
              <w:jc w:val="left"/>
            </w:pPr>
            <w:r>
              <w:rPr>
                <w:rFonts w:ascii="Times New Roman" w:hAnsi="Times New Roman" w:cs="Times New Roman" w:eastAsia="Times New Roman"/>
                <w:b w:val="false"/>
                <w:sz w:val="26"/>
              </w:rPr>
              <w:t>An toàn thực phẩm</w:t>
            </w:r>
          </w:p>
        </w:tc>
        <w:tc>
          <w:p/>
          <w:p>
            <w:pPr>
              <w:spacing w:after="0" w:before="0" w:lineRule="auto" w:line="276"/>
              <w:jc w:val="left"/>
            </w:pPr>
            <w:r>
              <w:rPr>
                <w:rFonts w:ascii="Times New Roman" w:hAnsi="Times New Roman" w:cs="Times New Roman" w:eastAsia="Times New Roman"/>
                <w:b w:val="false"/>
                <w:sz w:val="26"/>
              </w:rPr>
              <w:t>17-06-2010</w:t>
            </w:r>
          </w:p>
        </w:tc>
        <w:tc>
          <w:p/>
        </w:tc>
      </w:tr>
      <w:tr>
        <w:tc>
          <w:p/>
          <w:p>
            <w:pPr>
              <w:spacing w:after="0" w:before="0" w:lineRule="auto" w:line="276"/>
              <w:jc w:val="left"/>
            </w:pPr>
            <w:r>
              <w:rPr>
                <w:rFonts w:ascii="Times New Roman" w:hAnsi="Times New Roman" w:cs="Times New Roman" w:eastAsia="Times New Roman"/>
                <w:b w:val="false"/>
                <w:sz w:val="26"/>
              </w:rPr>
              <w:t>132/2008/NĐ-CP</w:t>
            </w:r>
          </w:p>
        </w:tc>
        <w:tc>
          <w:p/>
          <w:p>
            <w:pPr>
              <w:spacing w:after="0" w:before="0" w:lineRule="auto" w:line="276"/>
              <w:jc w:val="left"/>
            </w:pPr>
            <w:r>
              <w:rPr>
                <w:rFonts w:ascii="Times New Roman" w:hAnsi="Times New Roman" w:cs="Times New Roman" w:eastAsia="Times New Roman"/>
                <w:b w:val="false"/>
                <w:sz w:val="26"/>
              </w:rPr>
              <w:t>nghị định 132/2008/NĐ-CP</w:t>
            </w:r>
          </w:p>
        </w:tc>
        <w:tc>
          <w:p/>
          <w:p>
            <w:pPr>
              <w:spacing w:after="0" w:before="0" w:lineRule="auto" w:line="276"/>
              <w:jc w:val="left"/>
            </w:pPr>
            <w:r>
              <w:rPr>
                <w:rFonts w:ascii="Times New Roman" w:hAnsi="Times New Roman" w:cs="Times New Roman" w:eastAsia="Times New Roman"/>
                <w:b w:val="false"/>
                <w:sz w:val="26"/>
              </w:rPr>
              <w:t>31-12-2008</w:t>
            </w:r>
          </w:p>
        </w:tc>
        <w:tc>
          <w:p/>
        </w:tc>
      </w:tr>
      <w:tr>
        <w:tc>
          <w:p/>
          <w:p>
            <w:pPr>
              <w:spacing w:after="0" w:before="0" w:lineRule="auto" w:line="276"/>
              <w:jc w:val="left"/>
            </w:pPr>
            <w:r>
              <w:rPr>
                <w:rFonts w:ascii="Times New Roman" w:hAnsi="Times New Roman" w:cs="Times New Roman" w:eastAsia="Times New Roman"/>
                <w:b w:val="false"/>
                <w:sz w:val="26"/>
              </w:rPr>
              <w:t>68/2006/QH11</w:t>
            </w:r>
          </w:p>
        </w:tc>
        <w:tc>
          <w:p/>
          <w:p>
            <w:pPr>
              <w:spacing w:after="0" w:before="0" w:lineRule="auto" w:line="276"/>
              <w:jc w:val="left"/>
            </w:pPr>
            <w:r>
              <w:rPr>
                <w:rFonts w:ascii="Times New Roman" w:hAnsi="Times New Roman" w:cs="Times New Roman" w:eastAsia="Times New Roman"/>
                <w:b w:val="false"/>
                <w:sz w:val="26"/>
              </w:rPr>
              <w:t>Luật Tiêu chuẩn và quy chuẩn kỹ thuật</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05/2007/QH12</w:t>
            </w:r>
          </w:p>
        </w:tc>
        <w:tc>
          <w:p/>
          <w:p>
            <w:pPr>
              <w:spacing w:after="0" w:before="0" w:lineRule="auto" w:line="276"/>
              <w:jc w:val="left"/>
            </w:pPr>
            <w:r>
              <w:rPr>
                <w:rFonts w:ascii="Times New Roman" w:hAnsi="Times New Roman" w:cs="Times New Roman" w:eastAsia="Times New Roman"/>
                <w:b w:val="false"/>
                <w:sz w:val="26"/>
              </w:rPr>
              <w:t>Luật Chất lượng sản phẩm, hàng hoá</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127/2007/NĐ-CP</w:t>
            </w:r>
          </w:p>
        </w:tc>
        <w:tc>
          <w:p/>
          <w:p>
            <w:pPr>
              <w:spacing w:after="0" w:before="0" w:lineRule="auto" w:line="276"/>
              <w:jc w:val="left"/>
            </w:pPr>
            <w:r>
              <w:rPr>
                <w:rFonts w:ascii="Times New Roman" w:hAnsi="Times New Roman" w:cs="Times New Roman" w:eastAsia="Times New Roman"/>
                <w:b w:val="false"/>
                <w:sz w:val="26"/>
              </w:rPr>
              <w:t>Nghị định 127/2007/NĐ-CP</w:t>
            </w:r>
          </w:p>
        </w:tc>
        <w:tc>
          <w:p/>
          <w:p>
            <w:pPr>
              <w:spacing w:after="0" w:before="0" w:lineRule="auto" w:line="276"/>
              <w:jc w:val="left"/>
            </w:pPr>
            <w:r>
              <w:rPr>
                <w:rFonts w:ascii="Times New Roman" w:hAnsi="Times New Roman" w:cs="Times New Roman" w:eastAsia="Times New Roman"/>
                <w:b w:val="false"/>
                <w:sz w:val="26"/>
              </w:rPr>
              <w:t>01-08-2007</w:t>
            </w:r>
          </w:p>
        </w:tc>
        <w:tc>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Cơ sở kiểm nghiệm quy định tại Phần 8 Phụ lục 5 Nghị định số 148/2025/NĐ-CP đáp ứng đầy đủ các quy định tại khoản 1 Phần 7 Phụ lục 5 Nghị định số 148/2025/NĐ- CP và các quy định khác có liên quan theo quy định của Bộ quản lý ngành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2026-05-26T20:06:55Z</dcterms:created>
  <dc:creator>Apache POI</dc:creator>
</cp:coreProperties>
</file>