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1.013962.H19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ở có thu tiền sử dụng đất không thông qua đấu giá, không đấu thầu lựa chọn nhà đầu tư thực hiện dự án có sử dụng đất đối với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Hằng năm, Ủy ban nhân dân cấp xã thông báo cho cá nhân khác có nhu cầu sử dụng đất nộp hồ sơ đề nghị giao đất ở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Bước 2: Cá nhân có nhu cầu sử dụng đất nộp hồ sơ đến Trung tâm Phục vụ hành chính công.
Bước 3: Ủy ban nhân dân cấp xã thành lập Hội đồng xét duyệt giao đất không đấu giá quyền sử dụng đất.
Bước 4: Hội đồng xét duyệt cá nhân đủ điều kiện giao đất không đấu giá quyền sử dụng đất theo quy định của Ủy ban nhân dân cấp tỉnh. Ủy ban nhân dân cấp tỉnh căn cứ vào tình hình thực tế của địa phương để ban hành điều kiện, trình tự, thủ tục thẩm định để giao đất không đấu giá quyền sử dụng đất cho cá nhân.
Bước 5: Cơ quan chuyên môn về nông nghiệp và môi trường cấp xã hoàn thiện hồ sơ để trình Chủ tịch Ủy ban nhân dân cấp xã ban hành quyết định giao đất cho cá nhân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Đồng</w:t>
            </w:r>
          </w:p>
          <w:p>
            <w:pPr>
              <w:spacing w:after="0" w:before="0" w:lineRule="auto" w:line="276"/>
              <w:jc w:val="left"/>
            </w:pPr>
            <w:r>
              <w:rPr>
                <w:rFonts w:ascii="Times New Roman" w:hAnsi="Times New Roman" w:cs="Times New Roman" w:eastAsia="Times New Roman"/>
                <w:b w:val="false"/>
                <w:sz w:val="26"/>
              </w:rPr>
              <w:t>Lệ phí : "*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Đồng</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 Đối với hồ sơ hộ gia đình, cá nhân: + Cấp giấy chứng nhận về quyền sử dụng đất: 836.000 đồng/hồ sơ/thửa/GCN. + Cấp giấy chứng nhận về tài sản: 931.000 đồng/hồ sơ/thửa/GCN. + Cấp giấy chứng nhận đối với cả đất và tài sản gắn liền với đất: 1.187.500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Đồng</w:t>
              <w:t xml:space="preserve"> (Theo quy định của Luật phí và lệ phí và các văn bản quy phạm pháp luật hướng dẫn Luật phí và lệ phí.)</w:t>
            </w:r>
          </w:p>
          <w:p>
            <w:pPr>
              <w:spacing w:after="0" w:before="0" w:lineRule="auto" w:line="276"/>
              <w:jc w:val="left"/>
            </w:pPr>
            <w:r>
              <w:rPr>
                <w:rFonts w:ascii="Times New Roman" w:hAnsi="Times New Roman" w:cs="Times New Roman" w:eastAsia="Times New Roman"/>
                <w:b w:val="false"/>
                <w:sz w:val="26"/>
              </w:rPr>
              <w:t>Lệ phí : Miễn giảm 100% theo Nghị quyết số 21/2024/NQ-HĐND ngày 29/11/2024 của Hội đồng nhân dân tỉnh Đồng Nai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Đồng</w:t>
            </w:r>
          </w:p>
          <w:p>
            <w:pPr>
              <w:spacing w:after="0" w:before="0" w:lineRule="auto" w:line="276"/>
              <w:jc w:val="left"/>
            </w:pPr>
            <w:r>
              <w:rPr>
                <w:rFonts w:ascii="Times New Roman" w:hAnsi="Times New Roman" w:cs="Times New Roman" w:eastAsia="Times New Roman"/>
                <w:b w:val="false"/>
                <w:sz w:val="26"/>
              </w:rPr>
              <w:t>Lệ phí : "*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cấp xã; b) Nộp thông qua dịch vụ bưu chính công ích; c) Nộp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2418/QĐ-BNNMT</w:t>
            </w:r>
          </w:p>
        </w:tc>
        <w:tc>
          <w:p/>
          <w:p>
            <w:pPr>
              <w:spacing w:after="0" w:before="0" w:lineRule="auto" w:line="276"/>
              <w:jc w:val="left"/>
            </w:pPr>
            <w:r>
              <w:rPr>
                <w:rFonts w:ascii="Times New Roman" w:hAnsi="Times New Roman" w:cs="Times New Roman" w:eastAsia="Times New Roman"/>
                <w:b w:val="false"/>
                <w:sz w:val="26"/>
              </w:rPr>
              <w:t>Đính chính Nghị định số 151/2025/NĐ-CP ngày 12/6/2025</w:t>
            </w:r>
          </w:p>
        </w:tc>
        <w:tc>
          <w:p/>
          <w:p>
            <w:pPr>
              <w:spacing w:after="0" w:before="0" w:lineRule="auto" w:line="276"/>
              <w:jc w:val="left"/>
            </w:pPr>
            <w:r>
              <w:rPr>
                <w:rFonts w:ascii="Times New Roman" w:hAnsi="Times New Roman" w:cs="Times New Roman" w:eastAsia="Times New Roman"/>
                <w:b w:val="false"/>
                <w:sz w:val="26"/>
              </w:rPr>
              <w:t>28-06-2025</w:t>
            </w:r>
          </w:p>
        </w:tc>
        <w:tc>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  Điều kiện: 
+ Cá nhân thuộc đối tượng thường trú hoặc công tác tại địa bàn xã gồm:
(i)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(ii)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(ii)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2026-05-24T13:17:40Z</dcterms:created>
  <dc:creator>Apache POI</dc:creator>
</cp:coreProperties>
</file>