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3389/QĐ-UBND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doanh nghiệp, cá nhân nộp 01 bộ hồ sơ đề nghị cấp Giấy chứng nhận đủ điều kiện hoạt động điểm cung cấp dịch vụ trò chơi điện tử công cộng tới Ủy ban nhân dân cấp xã hoạt động trên địa bàn.
- Trong thời hạn 15 ngày, kể từ ngày nhận được hồ sơ theo quy định, Uỷ ban nhân dân cấp xã thẩm định hồ sơ, kiểm tra thực tế và cấp Giấy chứng nhận đủ điều kiện hoạt động điểm cung cấp dịch vụ trò chơi điện tử công cộng. 
- Trường hợp từ chối, Ủy ban nhân dân cấp xã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chứng nhận đủ điều kiện hoạt động điểm cung cấp dịch vụ trò chơi điện tử công cộng theo Mẫu số 51a hoặc mẫu số 51b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Dondenghi51a51b.docx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Thông tin chứng minh nhân dân/căn cước/căn cước công dân của chủ điểm cung cấp dịch vụ trò chơi điện tử công cộng hoặc của cá nhân đại diện cho tổ chức, doanh nghiệp trực tiếp quản lý điểm cung cấp dịch vụ trò chơi điện tử công cộng được khai thác, sử dụng trên Cơ sở dữ liệu quốc gia về dân cư, không phải nộp bản sao hoặc xuất trình khi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Thông tin về giấy chứng nhận đăng ký kinh doanh/giấy chứng nhận đăng ký doanh nghiệp được khai thác, sử dụng trên Cơ sở dữ liệu quốc gia về đăng ký doanh nghiệp, không phải nộp kèm theo Đơn đề nghị khi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của Chính phủ về 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137/2025/NĐ-CP</w:t>
            </w:r>
          </w:p>
        </w:tc>
        <w:tc>
          <w:p/>
          <w:p>
            <w:pPr>
              <w:spacing w:after="0" w:before="0" w:lineRule="auto" w:line="276"/>
              <w:jc w:val="left"/>
            </w:pPr>
            <w:r>
              <w:rPr>
                <w:rFonts w:ascii="Times New Roman" w:hAnsi="Times New Roman" w:cs="Times New Roman" w:eastAsia="Times New Roman"/>
                <w:b w:val="false"/>
                <w:sz w:val="26"/>
              </w:rPr>
              <w:t>Nghị định số 137/2025/NĐ-CP ngày 12/6/2025 của Chính phủ quy định về phân định thẩm quyền của chính quyền địa phương 02 cấp trong lĩnh vực văn hóa, thể thao và du lịch.</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874/QĐ-UBND</w:t>
            </w:r>
          </w:p>
        </w:tc>
        <w:tc>
          <w:p/>
          <w:p>
            <w:pPr>
              <w:spacing w:after="0" w:before="0" w:lineRule="auto" w:line="276"/>
              <w:jc w:val="left"/>
            </w:pPr>
            <w:r>
              <w:rPr>
                <w:rFonts w:ascii="Times New Roman" w:hAnsi="Times New Roman" w:cs="Times New Roman" w:eastAsia="Times New Roman"/>
                <w:b w:val="false"/>
                <w:sz w:val="26"/>
              </w:rPr>
              <w:t>QĐ Công bố Danh mục thủ tục hành chính mới ban hành, được thay thế, sửa đổi bổ sung hoặc bị bãi bỏ trong một số lĩnh vực thuộc thẩm quyền giải quyết của UBND tỉnh, Sở Văn hóa, Thể thao và Du lịch,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22-08-2025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3389/QĐ-UBND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một số lĩnh vực thuộc thẩm quyền giải quyết của Sở Văn hóa, Thể thao và Du lịch,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doanh nghiệp, cá nhân được cấp Giấy chứng nhận đủ điều kiện hoạt động điểm cung cấp dịch vụ trò chơi điện tử công cộng khi đáp ứng các điều kiện sau đây:
- Có đăng ký kinh doanh điểm cung cấp dịch vụ trò chơi điện tử công cộng;
- Có biển hiệu “Điểm cung cấp dịch vụ trò chơi điện tử công cộng” ghi rõ tên điểm, địa chỉ, số điện thoại liên hệ, số đăng ký kinh doanh. Trường hợp điểm cung cấp dịch vụ trò chơi điện tử công cộng đồng thời là đại lý Internet thì thêm nội dung “Đại lý Internet”. Trường hợp điểm cung cấp dịch vụ trò chơi điện tử công cộng đồng thời là điểm truy nhập Internet công cộng của doanh nghiệp thì thêm nội dung “Điểm truy nhập Internet công cộng”;
- Có thiết bị và nội quy phòng cháy, chữa cháy theo quy định về phòng, chống cháy, nổ của Bộ Công 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2026-05-02T11:26:01Z</dcterms:created>
  <dc:creator>Apache POI</dc:creator>
</cp:coreProperties>
</file>