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1.013968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2075/QĐ-BKHCN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hợp đồng chuyển quyền sử dụng đối tượng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Tổ chức, cá nhân nộp 01 bộ hồ sơ đăng ký hợp đồng chuyển quyền sử dụng đối tượng sở hữu công nghiệp đến Trung tâm Phục vụ hành chính công cấp tỉnh thuộc Uỷ ban nhân dân tỉnh, thành phố trực thuộc trung ương).
Bước 2: Thẩm định hồ sơ
Hồ sơ đăng ký hợp đồng chuyển quyền sử dụng đối tượng sở hữu công nghiệp được thực hiện như sau:
- Trong trường hợp đơn đăng ký hợp đồng chuyển quyền sử dụng đối tượng sở hữu công nghiệp không có các thiếu sót nêu tại khoản 3 Điều 27 Nghị định số 100/2026/NĐ-CP ngày 31 tháng 3 năm 2026 của Chính phủ, trong thời hạn 60 ngày kể từ ngày nhận đơn, Ủy ban nhân dân tỉnh, thành phố trực thuộc trung ương thực hiện các công việc sau đây:
+ Ra quyết định cấp Giấy chứng nhận đăng ký hợp đồng chuyển quyền sử dụng đối tượng sở hữu công nghiệp;
+ Cấp Giấy chứng nhận đăng ký hợp đồng chuyển quyền sử dụng đối tượng sở hữu công nghiệp theo Mẫu số 24 tại Phụ lục I Nghị định số 100/2026/NĐ-CP ngày 31 tháng 3 năm 2026 của Chính phủ cho người nộp đơn; đóng dấu đăng ký vào bản hợp đồng và trao người nộp đơn 01 bản sao có đóng dấu;
+ Ủy ban nhân dân tỉnh, thành phố trực thuộc trung ương gửi thông tin về quyết định cấp Giấy chứng nhận đăng ký hợp đồng chuyển quyền sử dụng đối tượng sở hữu công nghiệp đến tổ chức hành chính quản lý nhà nước về sở hữu công nghiệp trong thời hạn 08 ngày làm việc kể từ ngày ra quyết định. Trong thời hạn 60 ngày kể từ ngày nhận được thông tin, tổ chức hành chính quản lý nhà nước về sở hữu công nghiệp ghi nhận việc chuyển quyền sử dụng đối tượng sở hữu công nghiệp vào Sổ đăng ký quốc gia về sở hữu công nghiệp và thực hiện công bố quyết định cấp Giấy chứng nhận đăng ký hợp đồng chuyển quyền sử dụng đối tượng sở hữu công nghiệp trên Công báo Sở hữu công nghiệp.
-	Trong trường hợp đơn đăng ký hợp đồng chuyển quyền sử dụng đối tượng sở hữu công nghiệp có thiếu sót theo quy định khoản 3 Điều 28 Nghị định số 100/2026/NĐ-CP ngày 31 tháng 3 năm 2026 của Chính phủ, trong thời hạn 60 ngày kể từ ngày nhận đơn, Ủy ban nhân dân tỉnh, thành phố trực thuộc trung ương thực hiện các thủ tục sau đây:
-	Ra thông báo dự định từ chối đăng ký hợp đồng, trong đó nêu rõ các thiếu sót của hồ sơ, ấn định thời hạn 60 ngày kể từ ngày ký thông báo để người nộp hồ sơ sửa chữa thiếu sót hoặc có ý kiến phản đối về dự định từ chối đăng ký hợp đồng. Thời gian dành cho người nộp đơn sửa chữa thiếu sót hoặc có ý kiến phản đối về dự định từ chối không tính vào thời hạn xử lý đơn;
- Trường hợp người nộp đơn không sửa chữa thiếu sót hoặc không có ý kiến phản đối hoặc sửa chữa thiếu sót/phản đối không đạt yêu cầu, trong thời hạn 60 ngày kể từ ngày kết thúc thời hạn nêu tại điểm a khoản 2 Điều 28 Nghị định số 100/2026/NĐ-CP ngày 31 tháng 3 năm 2026 của Chính phủ, Ủy ban nhân dân tỉnh, thành phố trực thuộc trung ương ra quyết định từ chối đăng ký hợp đồng, trong đó nêu rõ lý do từ chối;
- Trường hợp văn bằng bảo hộ đã bị chấm dứt, hủy bỏ hiệu lực hoặc hết thời hạn bảo hộ theo quy định, Ủy ban nhân dân tỉnh, thành phố trực thuộc trung ương thông báo chấm dứt xử lý đơn đăng ký hợp đồng chuyển quyền sử dụng đối tượng sở hữu công nghiệp.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Lệ phí : 60000 Đồng</w:t>
              <w:t xml:space="preserve"> (-	Lệ phí cấp GCN ĐKHĐ: 60.000 đ (Kể từ ngày 01 tháng 01 năm 2027 trở đi, mức thu lệ phí nộp đơn: 120.000 đồng/đơn); Trường hợp thực hiện dịch vụ công trên ứng dụng VneID thì được miễn lệ phí cấp GCN ĐKHĐ từ ngày 01/4/2026 đến 31/12/2026.)</w:t>
            </w:r>
          </w:p>
          <w:p>
            <w:pPr>
              <w:spacing w:after="0" w:before="0" w:lineRule="auto" w:line="276"/>
              <w:jc w:val="left"/>
            </w:pPr>
            <w:r>
              <w:rPr>
                <w:rFonts w:ascii="Times New Roman" w:hAnsi="Times New Roman" w:cs="Times New Roman" w:eastAsia="Times New Roman"/>
                <w:b w:val="false"/>
                <w:sz w:val="26"/>
              </w:rPr>
              <w:t>Phí : 120000 Đồng</w:t>
              <w:t xml:space="preserve"> (Phí đăng bạ)</w:t>
            </w:r>
          </w:p>
          <w:p>
            <w:pPr>
              <w:spacing w:after="0" w:before="0" w:lineRule="auto" w:line="276"/>
              <w:jc w:val="left"/>
            </w:pPr>
            <w:r>
              <w:rPr>
                <w:rFonts w:ascii="Times New Roman" w:hAnsi="Times New Roman" w:cs="Times New Roman" w:eastAsia="Times New Roman"/>
                <w:b w:val="false"/>
                <w:sz w:val="26"/>
              </w:rPr>
              <w:t>Phí : 120000 Đồng</w:t>
              <w:t xml:space="preserve"> (Phí công bố)</w:t>
            </w:r>
          </w:p>
          <w:p>
            <w:pPr>
              <w:spacing w:after="0" w:before="0" w:lineRule="auto" w:line="276"/>
              <w:jc w:val="left"/>
            </w:pPr>
            <w:r>
              <w:rPr>
                <w:rFonts w:ascii="Times New Roman" w:hAnsi="Times New Roman" w:cs="Times New Roman" w:eastAsia="Times New Roman"/>
                <w:b w:val="false"/>
                <w:sz w:val="26"/>
              </w:rPr>
              <w:t>Phí : 230000 Đồng</w:t>
              <w:t xml:space="preserve"> (Phí thẩm định hồ sơ)</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120000 Đồng</w:t>
              <w:t xml:space="preserve"> (Phí đăng bạ)</w:t>
            </w:r>
          </w:p>
          <w:p>
            <w:pPr>
              <w:spacing w:after="0" w:before="0" w:lineRule="auto" w:line="276"/>
              <w:jc w:val="left"/>
            </w:pPr>
            <w:r>
              <w:rPr>
                <w:rFonts w:ascii="Times New Roman" w:hAnsi="Times New Roman" w:cs="Times New Roman" w:eastAsia="Times New Roman"/>
                <w:b w:val="false"/>
                <w:sz w:val="26"/>
              </w:rPr>
              <w:t>Phí : 120000 Đồng</w:t>
              <w:t xml:space="preserve"> (Phí công bố)</w:t>
            </w:r>
          </w:p>
          <w:p>
            <w:pPr>
              <w:spacing w:after="0" w:before="0" w:lineRule="auto" w:line="276"/>
              <w:jc w:val="left"/>
            </w:pPr>
            <w:r>
              <w:rPr>
                <w:rFonts w:ascii="Times New Roman" w:hAnsi="Times New Roman" w:cs="Times New Roman" w:eastAsia="Times New Roman"/>
                <w:b w:val="false"/>
                <w:sz w:val="26"/>
              </w:rPr>
              <w:t>Phí : 230000 Đồng</w:t>
              <w:t xml:space="preserve"> (Phí thẩm định hồ sơ)</w:t>
            </w:r>
          </w:p>
          <w:p>
            <w:pPr>
              <w:spacing w:after="0" w:before="0" w:lineRule="auto" w:line="276"/>
              <w:jc w:val="left"/>
            </w:pPr>
            <w:r>
              <w:rPr>
                <w:rFonts w:ascii="Times New Roman" w:hAnsi="Times New Roman" w:cs="Times New Roman" w:eastAsia="Times New Roman"/>
                <w:b w:val="false"/>
                <w:sz w:val="26"/>
              </w:rPr>
              <w:t>Lệ phí : 60000 Đồng</w:t>
              <w:t xml:space="preserve"> (-	Lệ phí cấp GCN ĐKHĐ: 60.000 đ (Kể từ ngày 01 tháng 01 năm 2027 trở đi, mức thu lệ phí nộp đơn: 120.000 đồng/đơn); Trường hợp thực hiện dịch vụ công trên ứng dụng VneID thì được miễn lệ phí cấp GCN ĐKHĐ từ ngày 01/4/2026 đến 31/12/2026.)</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120000 Đồng</w:t>
              <w:t xml:space="preserve"> (Phí đăng bạ)</w:t>
            </w:r>
          </w:p>
          <w:p>
            <w:pPr>
              <w:spacing w:after="0" w:before="0" w:lineRule="auto" w:line="276"/>
              <w:jc w:val="left"/>
            </w:pPr>
            <w:r>
              <w:rPr>
                <w:rFonts w:ascii="Times New Roman" w:hAnsi="Times New Roman" w:cs="Times New Roman" w:eastAsia="Times New Roman"/>
                <w:b w:val="false"/>
                <w:sz w:val="26"/>
              </w:rPr>
              <w:t>Phí : 120000 Đồng</w:t>
              <w:t xml:space="preserve"> (Phí công bố)</w:t>
            </w:r>
          </w:p>
          <w:p>
            <w:pPr>
              <w:spacing w:after="0" w:before="0" w:lineRule="auto" w:line="276"/>
              <w:jc w:val="left"/>
            </w:pPr>
            <w:r>
              <w:rPr>
                <w:rFonts w:ascii="Times New Roman" w:hAnsi="Times New Roman" w:cs="Times New Roman" w:eastAsia="Times New Roman"/>
                <w:b w:val="false"/>
                <w:sz w:val="26"/>
              </w:rPr>
              <w:t>Phí : 230000 Đồng</w:t>
              <w:t xml:space="preserve"> (Phí thẩm định hồ sơ)</w:t>
            </w:r>
          </w:p>
          <w:p>
            <w:pPr>
              <w:spacing w:after="0" w:before="0" w:lineRule="auto" w:line="276"/>
              <w:jc w:val="left"/>
            </w:pPr>
            <w:r>
              <w:rPr>
                <w:rFonts w:ascii="Times New Roman" w:hAnsi="Times New Roman" w:cs="Times New Roman" w:eastAsia="Times New Roman"/>
                <w:b w:val="false"/>
                <w:sz w:val="26"/>
              </w:rPr>
              <w:t>Lệ phí : 60000 Đồng</w:t>
              <w:t xml:space="preserve"> (-	Lệ phí cấp GCN ĐKHĐ: 60.000 đ (Kể từ ngày 01 tháng 01 năm 2027 trở đi, mức thu lệ phí nộp đơn: 120.000 đồng/đơn); Trường hợp thực hiện dịch vụ công trên ứng dụng VneID thì được miễn lệ phí cấp GCN ĐKHĐ từ ngày 01/4/2026 đến 31/12/2026.)</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hợp đồng chuyển quyền sử dụng đối tượng sở hữu công nghiệp theo Mẫu số 15 tại Phụ lục I Nghị định số 100/2026/NĐ-CP ngày 31 tháng 3 năm 2026 của Chính phủ;</w:t>
            </w:r>
          </w:p>
        </w:tc>
        <w:tc>
          <w:p/>
          <w:p>
            <w:pPr>
              <w:spacing w:after="0" w:before="0" w:lineRule="auto" w:line="276"/>
              <w:jc w:val="left"/>
            </w:pPr>
            <w:r>
              <w:rPr>
                <w:rFonts w:ascii="Times New Roman" w:hAnsi="Times New Roman" w:cs="Times New Roman" w:eastAsia="Times New Roman"/>
                <w:b w:val="false"/>
                <w:sz w:val="26"/>
              </w:rPr>
              <w:t>Mus15.docx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(bản gốc hoặc bản sao kèm theo bản gốc để đối chiếu, trừ trường hợp bản sao đã được chứng thực theo quy định); nếu hợp đồng làm bằng ngôn ngữ khác tiếng Việt thì phải kèm theo bản dịch hợp đồng ra tiếng Việt; nếu hợp đồng có nhiều trang thì từng trang phải có chữ ký xác nhận của các bên hoặc đóng dấu giáp lai;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đồng ý của các đồng chủ sở hữu về việc chuyển quyền sử dụng đối tượng sở hữu công nghiệp, nếu quyền sở hữu công nghiệp tương ứng thuộc sở hữu chung;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Bản gốc hoặc bản sao có chứng thực của Văn bản ủy quyền (trường hợp yêu cầu được nộp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chụp chứng từ/bằng chứng nộp phí, lệ phí (trường hợp nộp phí, lệ phí qua dịch vụ bưu chính hoặc nộp trực tiếp vào tài khoản của cơ quan tiếp nhận đơn thuộc Ủy ban nhân dân tỉnh, thành phố trực thuộc trung ương (phí thẩm định và lệ phí cấp Giấy chứng nhận đăng ký hợp đồng) và tổ chức hành chính quản lý nhà nước về quyền sở hữu công nghiệp (phí đăng bạ và công bố)).</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Giấy chứng nhận đăng ký hợp đồng chuyển quyền sử dụng đối tượng sở hữu công nghiệp;, Giấy chứng nhận đăng ký hợp đồng chuyển quyền sử dụng đối tượng sở hữu công nghiệp .</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36/2009/QH12</w:t>
            </w:r>
          </w:p>
        </w:tc>
        <w:tc>
          <w:p/>
          <w:p>
            <w:pPr>
              <w:spacing w:after="0" w:before="0" w:lineRule="auto" w:line="276"/>
              <w:jc w:val="left"/>
            </w:pPr>
            <w:r>
              <w:rPr>
                <w:rFonts w:ascii="Times New Roman" w:hAnsi="Times New Roman" w:cs="Times New Roman" w:eastAsia="Times New Roman"/>
                <w:b w:val="false"/>
                <w:sz w:val="26"/>
              </w:rPr>
              <w:t>36/2009/QH12 -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263/2016/TT-BTC - Thông tư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42/2019/QH14 - Luật Sửa đổi, bổ sung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131/2025/QH15</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10-12-2025</w:t>
            </w:r>
          </w:p>
        </w:tc>
        <w:tc>
          <w:p/>
          <w:p>
            <w:pPr>
              <w:spacing w:after="0" w:before="0" w:lineRule="auto" w:line="276"/>
              <w:jc w:val="left"/>
            </w:pPr>
            <w:r>
              <w:rPr>
                <w:rFonts w:ascii="Times New Roman" w:hAnsi="Times New Roman" w:cs="Times New Roman" w:eastAsia="Times New Roman"/>
                <w:b w:val="false"/>
                <w:sz w:val="26"/>
              </w:rPr>
              <w:t>Văn phòng Quốc hội</w:t>
            </w:r>
          </w:p>
        </w:tc>
      </w:tr>
      <w:tr>
        <w:tc>
          <w:p/>
          <w:p>
            <w:pPr>
              <w:spacing w:after="0" w:before="0" w:lineRule="auto" w:line="276"/>
              <w:jc w:val="left"/>
            </w:pPr>
            <w:r>
              <w:rPr>
                <w:rFonts w:ascii="Times New Roman" w:hAnsi="Times New Roman" w:cs="Times New Roman" w:eastAsia="Times New Roman"/>
                <w:b w:val="false"/>
                <w:sz w:val="26"/>
              </w:rPr>
              <w:t>100</w:t>
            </w:r>
          </w:p>
        </w:tc>
        <w:tc>
          <w:p/>
          <w:p>
            <w:pPr>
              <w:spacing w:after="0" w:before="0" w:lineRule="auto" w:line="276"/>
              <w:jc w:val="left"/>
            </w:pPr>
            <w:r>
              <w:rPr>
                <w:rFonts w:ascii="Times New Roman" w:hAnsi="Times New Roman" w:cs="Times New Roman" w:eastAsia="Times New Roman"/>
                <w:b w:val="false"/>
                <w:sz w:val="26"/>
              </w:rPr>
              <w:t>Nghị định số 100/2026/NĐ-CP ngày 31/3/2026 của Chính phủ</w:t>
            </w:r>
          </w:p>
        </w:tc>
        <w:tc>
          <w:p/>
          <w:p>
            <w:pPr>
              <w:spacing w:after="0" w:before="0" w:lineRule="auto" w:line="276"/>
              <w:jc w:val="left"/>
            </w:pPr>
            <w:r>
              <w:rPr>
                <w:rFonts w:ascii="Times New Roman" w:hAnsi="Times New Roman" w:cs="Times New Roman" w:eastAsia="Times New Roman"/>
                <w:b w:val="false"/>
                <w:sz w:val="26"/>
              </w:rPr>
              <w:t>31-03-2026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tượng sở hữu công nghiệp phải còn hiệu lực;
-	Việc chuyển giao quyền sử dụng phải thuộc phạm vi được bảo hộ.
-	Bên chuyển quyền phải là chủ sở hữu VBBH hoặc được chủ sở hữu VBBH cho phép sử dụng thông qua hợp đồng chuyển quyền sử dụng khác.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2026-05-20T21:15:15Z</dcterms:created>
  <dc:creator>Apache POI</dc:creator>
</cp:coreProperties>
</file>