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việc sửa đổi nội dung, gia hạn, chấm dứt trước thời hạn hiệu lực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ghi nhận việc sửa đổi nội dung, gia hạn, chấm dứt trước thời hạn hiệu lực hợp đồng chuyển quyền sử dụng đối tượng sở hữu công nghiệp đến Trung tâm Phục vụ hành chính công cấp tỉnh thuộc Uỷ ban nhân dân tỉnh, thành phố trực thuộc trung ương).
Bước 2: Thẩm định hồ sơ
Trong thời hạn 30 ngày kể từ ngày nhận hồ sơ yêu cầu ghi nhận việc sửa đổi nội dung, gia hạn, chấm dứt trước thời hạn hợp đồng, Ủy ban nhân dân tỉnh, thành phố trực thuộc trung ương có trách nhiệm xem xét đơn theo quy định sau đây:
- Trong trường hợp đơn hợp lệ, Ủy ban nhân dân tỉnh, thành phố trực thuộc trung ương thực hiện các công việc sau đây:
+ Ra quyết định ghi nhận sửa đổi nội dung, gia hạn, chấm dứt trước thời hạn hiệu lực hợp đồng chuyển quyền sử dụng đối tượng sở hữu công nghiệp;
+ Ghi nhận các nội dung sửa đổi, gia hạn hiệu lực hợp đồng chuyển quyền sử dụng đối tượng sở hữu công nghiệp vào Giấy chứng nhận đăng ký hợp đồng chuyển quyền sử dụng đối tượng sở hữu công nghiệp;
+ Ủy ban nhân dân tỉnh, thành phố trực thuộc trung ương gửi thông tin về quyết định ghi nhận sửa đổi nội dung, gia hạn, chấm dứt trước thời hạn hiệu lực hợp đồng chuyển quyền sử dụng đối tượng sở hữu công nghiệp đến tổ chức hành chính quản lý nhà nước về quyền sở hữu công nghiệp trong thời hạn 08 ngày làm việc kể từ ngày ra quyết định để tổ chức hành chính quản lý nhà nước về quyền sở hữu công nghiệp ghi nhận các nội dung sửa đổi, gia hạn, chấm dứt trước thời hạn hiệu lực hợp đồng chuyển quyền sử dụng đối tượng sở hữu công nghiệp vào Sổ đăng ký quốc gia về sở hữu công nghiệp và thực hiện công bố các quyết định ghi nhận sửa đổi nội dung, gia hạn, chấm dứt trước thời hạn hiệu lực hợp đồng chuyển quyền sử dụng đối tượng sở hữu công nghiệp trên Công báo Sở hữu công nghiệp.
- Trong trường hợp hồ sơ có thiếu sót theo quy định, Ủy ban nhân dân tỉnh, thành phố trực thuộc trung ương ra thông báo dự định từ chối ghi nhận việc sửa đổi nội dung, gia hạn, chấm dứt trước thời hạn hiệu lực hợp đồng chuyển quyền sử dụng đối tượng sở hữu công nghiệp, trong đó nêu rõ các thiếu sót của đơn, ấn định thời hạn 60 ngày kể từ ngày ký thông báo để người nộp hồ sơ sửa chữa thiếu sót hoặc có ý kiến phản đối về dự định từ chối ghi nhận việc sửa đổi nội dung, gia hạn, chấm dứt trước thời hạn hiệu lực hợp đồng. Thời gian dành cho người nộp đơn sửa chữa thiếu sót không tính vào thời hạn xử lý đơn;
- Trường hợp người nộp đơn không sửa chữa thiếu sót hoặc sửa chữa thiếu sót không đạt yêu cầu, không có ý kiến phản đối hoặc có ý kiến phản đối nhưng không xác đáng, trong thời hạn 30 ngày kể từ ngày kết thúc thời hạn nêu tại điểm b khoản 3 Điều 30 Nghị định số 100/2026/NĐ-CP ngày 31 tháng 3 năm 2026 của Chính phủ, Ủy ban nhân dân tỉnh, thành phố trực thuộc trung ương ra quyết định từ chối ghi nhận việc sửa đổi nội dung, gia hạn, chấm dứt hiệu lực trước thời hạn hợp đồng chuyển quyền sử dụng đối tượng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	Phí đăng bạ)</w:t>
            </w:r>
          </w:p>
          <w:p>
            <w:pPr>
              <w:spacing w:after="0" w:before="0" w:lineRule="auto" w:line="276"/>
              <w:jc w:val="left"/>
            </w:pPr>
            <w:r>
              <w:rPr>
                <w:rFonts w:ascii="Times New Roman" w:hAnsi="Times New Roman" w:cs="Times New Roman" w:eastAsia="Times New Roman"/>
                <w:b w:val="false"/>
                <w:sz w:val="26"/>
              </w:rPr>
              <w:t>Phí : 120000 Đồng</w:t>
              <w:t xml:space="preserve"> (-	Phí công bố)</w:t>
            </w:r>
          </w:p>
          <w:p>
            <w:pPr>
              <w:spacing w:after="0" w:before="0" w:lineRule="auto" w:line="276"/>
              <w:jc w:val="left"/>
            </w:pPr>
            <w:r>
              <w:rPr>
                <w:rFonts w:ascii="Times New Roman" w:hAnsi="Times New Roman" w:cs="Times New Roman" w:eastAsia="Times New Roman"/>
                <w:b w:val="false"/>
                <w:sz w:val="26"/>
              </w:rPr>
              <w:t>Phí : 160000 Đồng</w:t>
              <w:t xml:space="preserve"> (-	Phí thẩm định hồ sơ)</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	Phí công bố)</w:t>
            </w:r>
          </w:p>
          <w:p>
            <w:pPr>
              <w:spacing w:after="0" w:before="0" w:lineRule="auto" w:line="276"/>
              <w:jc w:val="left"/>
            </w:pPr>
            <w:r>
              <w:rPr>
                <w:rFonts w:ascii="Times New Roman" w:hAnsi="Times New Roman" w:cs="Times New Roman" w:eastAsia="Times New Roman"/>
                <w:b w:val="false"/>
                <w:sz w:val="26"/>
              </w:rPr>
              <w:t>Phí : 120000 Đồng</w:t>
              <w:t xml:space="preserve"> (-	Phí đăng bạ)</w:t>
            </w:r>
          </w:p>
          <w:p>
            <w:pPr>
              <w:spacing w:after="0" w:before="0" w:lineRule="auto" w:line="276"/>
              <w:jc w:val="left"/>
            </w:pPr>
            <w:r>
              <w:rPr>
                <w:rFonts w:ascii="Times New Roman" w:hAnsi="Times New Roman" w:cs="Times New Roman" w:eastAsia="Times New Roman"/>
                <w:b w:val="false"/>
                <w:sz w:val="26"/>
              </w:rPr>
              <w:t>Phí : 160000 Đồng</w:t>
              <w:t xml:space="preserve"> (-	Phí thẩm định hồ sơ)</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	Phí đăng bạ)</w:t>
            </w:r>
          </w:p>
          <w:p>
            <w:pPr>
              <w:spacing w:after="0" w:before="0" w:lineRule="auto" w:line="276"/>
              <w:jc w:val="left"/>
            </w:pPr>
            <w:r>
              <w:rPr>
                <w:rFonts w:ascii="Times New Roman" w:hAnsi="Times New Roman" w:cs="Times New Roman" w:eastAsia="Times New Roman"/>
                <w:b w:val="false"/>
                <w:sz w:val="26"/>
              </w:rPr>
              <w:t>Phí : 120000 Đồng</w:t>
              <w:t xml:space="preserve"> (-	Phí công bố)</w:t>
            </w:r>
          </w:p>
          <w:p>
            <w:pPr>
              <w:spacing w:after="0" w:before="0" w:lineRule="auto" w:line="276"/>
              <w:jc w:val="left"/>
            </w:pPr>
            <w:r>
              <w:rPr>
                <w:rFonts w:ascii="Times New Roman" w:hAnsi="Times New Roman" w:cs="Times New Roman" w:eastAsia="Times New Roman"/>
                <w:b w:val="false"/>
                <w:sz w:val="26"/>
              </w:rPr>
              <w:t>Phí : 160000 Đồng</w:t>
              <w:t xml:space="preserve"> (-	Phí thẩm định hồ sơ)</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việc sửa đổi nội dung, gia hạn, chấm dứt hiệu lực trước thời hạn của hợp đồng chuyển quyền sử dụng đối tượng sở hữu công nghiệp, làm theo Mẫu số 17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Giấy chứng nhận đăng ký hợp đồng chuyển quyền sử dụng đối tượng sở hữu công nghiệp (trường hợp đăng ký sửa đổi nội dung, gia hạn hiệu lực của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việc sửa đổi tên, địa chỉ của các bên trong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Thỏa thuận, tài liệu ghi nhận về những điều khoản cụ thể cần sửa đổi, bổ sung trong hợp đồng, kể cả việc gia hạn hoặc chấm dứt hiệu lực của hợp đồng trước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gốc hoặc bản sao có chứng thực 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cơ quan tiếp nhận hồ sơ thuộc Ủy ban nhân dân tỉnh, thành phố trực thuộc trung ương (phí thẩm định yêu cầu sửa đổi, gia hạn, chấm dứt hiệu lực trước thời hạn của hợp đồng chuyển quyền sử dụng đối tượng sở hữu công nghiệp) và tổ chức hành chính quản lý nhà nước về quyền sở hữu công nghiệp (phí công bố, đăng bạ thông tin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các nội dung sửa đổi, gia hạn, chấm dứt trước thời hạn hiệu lực hợp đồng chuyển quyền sử dụng đối tượng sở hữu công nghiệp, Giấy chứng nhận đăng ký hợp đồng chuyển quyền sử dụng đối tượng sở hữu công nghiệp đã được cập nhật nội dung sửa đổi, gia hạn hiệu lực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Đơn yêu cầu gia hạn hợp đồng phải được nộp trong vòng 30 ngày tính đến ngày kết thúc thời hạn hợp đồng ghi trong Giấy chứng nhận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2026-05-20T21:15:14Z</dcterms:created>
  <dc:creator>Apache POI</dc:creator>
</cp:coreProperties>
</file>