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1.013971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Chứng chỉ nhân viên bức xạ cho người phụ trách an toàn trong sử dụng thiết bị chụp cắt lớp vi tính tích hợp với PET, (PET/CT), tích hợp với SPECT (SPECT/CT); thiết bị bức xạ phát tia X trong phân tích huỳnh quang tia X, phân tích nhiễu xạ tia X, soi bo mạch, soi hiển vi điện tử, soi kiểm tra an ninh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bức xạ và hạt nhân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-Tổ chức, cá nhân nộp hồ sơ đề nghị cấp Chứng chỉ nhân viên bức xạ cho người phụ trách an toàn trong sử dụng  thiết bị chụp cắt lớp vi tính tích hợp với PET, (PET/CT), tích hợp với SPECT (SPECT/CT); thiết bị bức xạ phát tia X trong phân tích huỳnh quang tia X, phân tích nhiễu xạ tia X, soi bo mạch, soi hiển vi điện tử, soi kiểm tra an ninh đến Ủy ban nhân dân (UBND) cấp tỉnh.
  Trưởng hợp thiết bị bức xạ được sử dụng di động trên địa bàn từ hai tỉnh trở lên, Ủy ban nhân dân cấp tỉnh nơi tổ chức, cá nhân sở hữu, quản lý thiết bị bức xạ đặt trụ sở chính cấp chứng chỉ nhân viên bức xạ cho người phụ trách an toàn.
-Trong thời hạn 05 ngày làm việc kể từ ngày tiếp nhận hồ sơ, UBND cấp tỉnh kiểm tra tính đầy đủ, hợp lệ của hồ sơ và thông báo bằng văn bản mức lệ phí(nếu có) đối với hồ sơ hợp lệ hoặc thông báo bằng văn bản yêu cầu sửa đổi, bổ sung hồ sơ nếu hồ sơ chưa đầy đủ, hợp lệ.
- Trong thời hạn 10 ngày làm việc kể từ ngày nhận đủ phí, lệ phívà hồ sơ đầy đủ, hợp lệ, UBND cấp tỉnhtổ chức thẩm định hồ sơ và cấp Chứng chỉ nhân viên bức xạ hoặc văn bản trả lời nêu rõ lý do trong trường hợp không đồng ý cấp Chứng chỉ nhân viên bức xạ.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200.000 Đồng</w:t>
              <w:t xml:space="preserve"> (Lệ phí cấp cho 01 chứng chỉ)</w:t>
            </w:r>
          </w:p>
        </w:tc>
        <w:tc>
          <w:p/>
          <w:p>
            <w:pPr>
              <w:spacing w:after="0" w:before="0" w:lineRule="auto" w:line="276"/>
              <w:jc w:val="left"/>
            </w:pPr>
            <w:r>
              <w:rPr>
                <w:rFonts w:ascii="Times New Roman" w:hAnsi="Times New Roman" w:cs="Times New Roman" w:eastAsia="Times New Roman"/>
                <w:b w:val="false"/>
                <w:sz w:val="26"/>
              </w:rPr>
              <w:t>10 ngày làm việc kể từ ngày nhận đủ phí, lệ phívà hồ sơ đầy đủ,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200.000 Đồng</w:t>
              <w:t xml:space="preserve"> (200.000 đồng/1 chứng chỉ.)</w:t>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hợp lệ và lệ phí (nếu có)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200.000 Đồng</w:t>
              <w:t xml:space="preserve"> (200.000 đồng/1 chứng chỉ.)</w:t>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hợp lệ và lệ phí (nếu có)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Chứng chỉ nhân viên bức xạ-;</w:t>
            </w:r>
          </w:p>
        </w:tc>
        <w:tc>
          <w:p/>
          <w:p>
            <w:pPr>
              <w:spacing w:after="0" w:before="0" w:lineRule="auto" w:line="276"/>
              <w:jc w:val="left"/>
            </w:pPr>
            <w:r>
              <w:rPr>
                <w:rFonts w:ascii="Times New Roman" w:hAnsi="Times New Roman" w:cs="Times New Roman" w:eastAsia="Times New Roman"/>
                <w:b w:val="false"/>
                <w:sz w:val="26"/>
              </w:rPr>
              <w:t>Mus05PhlcIV-DondenghicapChungchinhanvienbucxa.docx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văn bằng, chứng chỉ chuyên môn phù hợp với công việc đảm nhiệm,.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đào tạo an toàn bức xạ;.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khám sức khỏe tại cơ sở y tế từ cấp khám bệnh, chữa bệnh cơ bản trở lên được cấp không quá 06 tháng tính đến thời điểm nộp hồ sơ đề nghị cấp chứng chỉ nhân viên bức xạ;.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03 ảnh cỡ 3 cm x 4 cm trong trường hợp nộp hồ sơ trực tiếp hoặc qua bưu điện; tệp tin ảnh cỡ 3 cm x 4 cm trong trường hợp nộp hồ sơ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nhân viên bức xạ cho người phụ trách an toàn trong sử dụng thiết bị chụp cắt lớp vi tính tích hợp với PET, (PET/CT), tích hợp với SPECT (SPECT/CT); thiết bị bức xạ phát tia X trong phân tích huỳnh quang tia X, phân tích nhiễu xạ tia X, soi bo mạch, soi hiển vi điện tử, soi kiểm tra an ninh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287/2016/TT-BTC</w:t>
            </w:r>
          </w:p>
        </w:tc>
        <w:tc>
          <w:p/>
          <w:p>
            <w:pPr>
              <w:spacing w:after="0" w:before="0" w:lineRule="auto" w:line="276"/>
              <w:jc w:val="left"/>
            </w:pPr>
            <w:r>
              <w:rPr>
                <w:rFonts w:ascii="Times New Roman" w:hAnsi="Times New Roman" w:cs="Times New Roman" w:eastAsia="Times New Roman"/>
                <w:b w:val="false"/>
                <w:sz w:val="26"/>
              </w:rPr>
              <w:t>15/11/2016</w:t>
            </w:r>
          </w:p>
        </w:tc>
        <w:tc>
          <w:p/>
          <w:p>
            <w:pPr>
              <w:spacing w:after="0" w:before="0" w:lineRule="auto" w:line="276"/>
              <w:jc w:val="left"/>
            </w:pPr>
            <w:r>
              <w:rPr>
                <w:rFonts w:ascii="Times New Roman" w:hAnsi="Times New Roman" w:cs="Times New Roman" w:eastAsia="Times New Roman"/>
                <w:b w:val="false"/>
                <w:sz w:val="26"/>
              </w:rPr>
              <w:t>01-01-2017</w:t>
            </w:r>
          </w:p>
        </w:tc>
        <w:tc>
          <w:p/>
        </w:tc>
      </w:tr>
      <w:tr>
        <w:tc>
          <w:p/>
          <w:p>
            <w:pPr>
              <w:spacing w:after="0" w:before="0" w:lineRule="auto" w:line="276"/>
              <w:jc w:val="left"/>
            </w:pPr>
            <w:r>
              <w:rPr>
                <w:rFonts w:ascii="Times New Roman" w:hAnsi="Times New Roman" w:cs="Times New Roman" w:eastAsia="Times New Roman"/>
                <w:b w:val="false"/>
                <w:sz w:val="26"/>
              </w:rPr>
              <w:t>18/2008/QH12</w:t>
            </w:r>
          </w:p>
        </w:tc>
        <w:tc>
          <w:p/>
          <w:p>
            <w:pPr>
              <w:spacing w:after="0" w:before="0" w:lineRule="auto" w:line="276"/>
              <w:jc w:val="left"/>
            </w:pPr>
            <w:r>
              <w:rPr>
                <w:rFonts w:ascii="Times New Roman" w:hAnsi="Times New Roman" w:cs="Times New Roman" w:eastAsia="Times New Roman"/>
                <w:b w:val="false"/>
                <w:sz w:val="26"/>
              </w:rPr>
              <w:t>Luật 18/2008/QH12</w:t>
            </w:r>
          </w:p>
        </w:tc>
        <w:tc>
          <w:p/>
          <w:p>
            <w:pPr>
              <w:spacing w:after="0" w:before="0" w:lineRule="auto" w:line="276"/>
              <w:jc w:val="left"/>
            </w:pPr>
            <w:r>
              <w:rPr>
                <w:rFonts w:ascii="Times New Roman" w:hAnsi="Times New Roman" w:cs="Times New Roman" w:eastAsia="Times New Roman"/>
                <w:b w:val="false"/>
                <w:sz w:val="26"/>
              </w:rPr>
              <w:t>03-06-2008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142/2020/NĐ-CP</w:t>
            </w:r>
          </w:p>
        </w:tc>
        <w:tc>
          <w:p/>
          <w:p>
            <w:pPr>
              <w:spacing w:after="0" w:before="0" w:lineRule="auto" w:line="276"/>
              <w:jc w:val="left"/>
            </w:pPr>
            <w:r>
              <w:rPr>
                <w:rFonts w:ascii="Times New Roman" w:hAnsi="Times New Roman" w:cs="Times New Roman" w:eastAsia="Times New Roman"/>
                <w:b w:val="false"/>
                <w:sz w:val="26"/>
              </w:rPr>
              <w:t>Nghị định 142/2020/NĐ-CP</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63/2023/TT-BTC</w:t>
            </w:r>
          </w:p>
        </w:tc>
        <w:tc>
          <w:p/>
          <w:p>
            <w:pPr>
              <w:spacing w:after="0" w:before="0" w:lineRule="auto" w:line="276"/>
              <w:jc w:val="left"/>
            </w:pPr>
            <w:r>
              <w:rPr>
                <w:rFonts w:ascii="Times New Roman" w:hAnsi="Times New Roman" w:cs="Times New Roman" w:eastAsia="Times New Roman"/>
                <w:b w:val="false"/>
                <w:sz w:val="26"/>
              </w:rPr>
              <w:t>Thông tư số 63/2023/TT-BTC ngày 16/10/2023 của Bộ trưởng Bộ Tài chính quy định sửa đổi, bổ sung một số điều của một số thông tư quy định về phí, lệ phí của Bộ Trưởng Bộ Tài chính nhằm khuyến khích sử dụng dịch vụ công trực tuyến (có hiệu lực kể từ ngày 01/01/2024 đến hết ngày 31/12/2025)</w:t>
            </w:r>
          </w:p>
        </w:tc>
        <w:tc>
          <w:p/>
          <w:p>
            <w:pPr>
              <w:spacing w:after="0" w:before="0" w:lineRule="auto" w:line="276"/>
              <w:jc w:val="left"/>
            </w:pPr>
            <w:r>
              <w:rPr>
                <w:rFonts w:ascii="Times New Roman" w:hAnsi="Times New Roman" w:cs="Times New Roman" w:eastAsia="Times New Roman"/>
                <w:b w:val="false"/>
                <w:sz w:val="26"/>
              </w:rPr>
              <w:t>16-10-2023</w:t>
            </w:r>
          </w:p>
        </w:tc>
        <w:tc>
          <w:p/>
          <w:p>
            <w:pPr>
              <w:spacing w:after="0" w:before="0" w:lineRule="auto" w:line="276"/>
              <w:jc w:val="left"/>
            </w:pPr>
            <w:r>
              <w:rPr>
                <w:rFonts w:ascii="Times New Roman" w:hAnsi="Times New Roman" w:cs="Times New Roman" w:eastAsia="Times New Roman"/>
                <w:b w:val="false"/>
                <w:sz w:val="26"/>
              </w:rPr>
              <w:t>Bộ trưởng Bộ tài chính</w:t>
            </w:r>
          </w:p>
        </w:tc>
      </w:tr>
      <w:tr>
        <w:tc>
          <w:p/>
          <w:p>
            <w:pPr>
              <w:spacing w:after="0" w:before="0" w:lineRule="auto" w:line="276"/>
              <w:jc w:val="left"/>
            </w:pPr>
            <w:r>
              <w:rPr>
                <w:rFonts w:ascii="Times New Roman" w:hAnsi="Times New Roman" w:cs="Times New Roman" w:eastAsia="Times New Roman"/>
                <w:b w:val="false"/>
                <w:sz w:val="26"/>
              </w:rPr>
              <w:t>133/2025/NĐ-CP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2026-05-20T21:12:06Z</dcterms:created>
  <dc:creator>Apache POI</dc:creator>
</cp:coreProperties>
</file>